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87F" w:rsidRDefault="00D6187F" w:rsidP="001D30CF">
      <w:pPr>
        <w:shd w:val="clear" w:color="auto" w:fill="FFFFFF" w:themeFill="background1"/>
        <w:spacing w:before="100" w:beforeAutospacing="1" w:after="100" w:afterAutospacing="1" w:line="240" w:lineRule="auto"/>
        <w:ind w:right="-472"/>
        <w:rPr>
          <w:b/>
          <w:color w:val="000000" w:themeColor="text1"/>
          <w:sz w:val="24"/>
          <w:szCs w:val="24"/>
        </w:rPr>
      </w:pPr>
      <w:bookmarkStart w:id="0" w:name="_GoBack"/>
      <w:bookmarkEnd w:id="0"/>
    </w:p>
    <w:p w:rsidR="003E2538" w:rsidRDefault="003E2538" w:rsidP="00A36D33">
      <w:pPr>
        <w:shd w:val="clear" w:color="auto" w:fill="FFFFFF" w:themeFill="background1"/>
        <w:spacing w:after="0" w:line="240" w:lineRule="auto"/>
        <w:ind w:right="-472"/>
        <w:jc w:val="both"/>
        <w:rPr>
          <w:b/>
          <w:color w:val="000000" w:themeColor="text1"/>
          <w:sz w:val="24"/>
          <w:szCs w:val="24"/>
        </w:rPr>
      </w:pPr>
      <w:r w:rsidRPr="003E2538">
        <w:rPr>
          <w:b/>
          <w:color w:val="000000" w:themeColor="text1"/>
          <w:sz w:val="24"/>
          <w:szCs w:val="24"/>
        </w:rPr>
        <w:t>Support T</w:t>
      </w:r>
      <w:r w:rsidR="006565E9">
        <w:rPr>
          <w:b/>
          <w:color w:val="000000" w:themeColor="text1"/>
          <w:sz w:val="24"/>
          <w:szCs w:val="24"/>
        </w:rPr>
        <w:t xml:space="preserve">erms </w:t>
      </w:r>
      <w:r w:rsidRPr="003E2538">
        <w:rPr>
          <w:b/>
          <w:color w:val="000000" w:themeColor="text1"/>
          <w:sz w:val="24"/>
          <w:szCs w:val="24"/>
        </w:rPr>
        <w:t>&amp;</w:t>
      </w:r>
      <w:r w:rsidR="00E2445E">
        <w:rPr>
          <w:b/>
          <w:color w:val="000000" w:themeColor="text1"/>
          <w:sz w:val="24"/>
          <w:szCs w:val="24"/>
        </w:rPr>
        <w:t xml:space="preserve"> </w:t>
      </w:r>
      <w:r w:rsidRPr="003E2538">
        <w:rPr>
          <w:b/>
          <w:color w:val="000000" w:themeColor="text1"/>
          <w:sz w:val="24"/>
          <w:szCs w:val="24"/>
        </w:rPr>
        <w:t>C</w:t>
      </w:r>
      <w:r w:rsidR="006565E9">
        <w:rPr>
          <w:b/>
          <w:color w:val="000000" w:themeColor="text1"/>
          <w:sz w:val="24"/>
          <w:szCs w:val="24"/>
        </w:rPr>
        <w:t>onditions</w:t>
      </w:r>
      <w:r w:rsidR="00060B18">
        <w:rPr>
          <w:b/>
          <w:color w:val="000000" w:themeColor="text1"/>
          <w:sz w:val="24"/>
          <w:szCs w:val="24"/>
        </w:rPr>
        <w:t>:</w:t>
      </w:r>
    </w:p>
    <w:p w:rsidR="00CA2922" w:rsidRPr="003E2538" w:rsidRDefault="00CA2922" w:rsidP="00A36D33">
      <w:pPr>
        <w:shd w:val="clear" w:color="auto" w:fill="FFFFFF" w:themeFill="background1"/>
        <w:spacing w:after="0" w:line="240" w:lineRule="auto"/>
        <w:ind w:right="-472"/>
        <w:jc w:val="both"/>
        <w:rPr>
          <w:b/>
          <w:color w:val="000000" w:themeColor="text1"/>
          <w:sz w:val="24"/>
          <w:szCs w:val="24"/>
        </w:rPr>
      </w:pPr>
    </w:p>
    <w:p w:rsidR="003E33C4" w:rsidRPr="00DC7D57" w:rsidRDefault="00647983" w:rsidP="00A36D33">
      <w:pPr>
        <w:pStyle w:val="Heading1"/>
        <w:numPr>
          <w:ilvl w:val="0"/>
          <w:numId w:val="0"/>
        </w:numPr>
        <w:spacing w:after="0" w:line="240" w:lineRule="auto"/>
        <w:jc w:val="both"/>
        <w:rPr>
          <w:color w:val="002060"/>
          <w:sz w:val="24"/>
        </w:rPr>
      </w:pPr>
      <w:bookmarkStart w:id="1" w:name="_Ref227051508"/>
      <w:bookmarkStart w:id="2" w:name="_Toc296598466"/>
      <w:r w:rsidRPr="00DC7D57">
        <w:rPr>
          <w:color w:val="002060"/>
          <w:sz w:val="24"/>
        </w:rPr>
        <w:t xml:space="preserve">2. </w:t>
      </w:r>
      <w:r w:rsidR="001D30CF" w:rsidRPr="00DC7D57">
        <w:rPr>
          <w:color w:val="002060"/>
          <w:sz w:val="24"/>
        </w:rPr>
        <w:t>Definitions and Interpretation</w:t>
      </w:r>
      <w:bookmarkEnd w:id="1"/>
      <w:bookmarkEnd w:id="2"/>
    </w:p>
    <w:p w:rsidR="001D30CF" w:rsidRPr="004A339B" w:rsidRDefault="00647983" w:rsidP="00A36D33">
      <w:pPr>
        <w:pStyle w:val="Heading2"/>
        <w:numPr>
          <w:ilvl w:val="0"/>
          <w:numId w:val="0"/>
        </w:numPr>
        <w:shd w:val="clear" w:color="auto" w:fill="FFFFFF" w:themeFill="background1"/>
        <w:spacing w:before="0" w:after="0" w:line="240" w:lineRule="auto"/>
        <w:jc w:val="both"/>
        <w:rPr>
          <w:b w:val="0"/>
          <w:color w:val="000000" w:themeColor="text1"/>
          <w:sz w:val="20"/>
        </w:rPr>
      </w:pPr>
      <w:r>
        <w:rPr>
          <w:b w:val="0"/>
          <w:color w:val="000000" w:themeColor="text1"/>
          <w:sz w:val="20"/>
        </w:rPr>
        <w:t xml:space="preserve">2.1 </w:t>
      </w:r>
      <w:r w:rsidR="001D30CF" w:rsidRPr="00E965FA">
        <w:rPr>
          <w:b w:val="0"/>
          <w:color w:val="000000" w:themeColor="text1"/>
          <w:sz w:val="20"/>
        </w:rPr>
        <w:t>In these Support T&amp;Cs the following expressions have the following mea</w:t>
      </w:r>
      <w:r w:rsidR="001D30CF" w:rsidRPr="004A339B">
        <w:rPr>
          <w:b w:val="0"/>
          <w:color w:val="000000" w:themeColor="text1"/>
          <w:sz w:val="20"/>
        </w:rPr>
        <w:t>nings:</w:t>
      </w:r>
    </w:p>
    <w:tbl>
      <w:tblPr>
        <w:tblStyle w:val="LightShading-Accent5"/>
        <w:tblW w:w="5000" w:type="pct"/>
        <w:tblBorders>
          <w:top w:val="none" w:sz="0" w:space="0" w:color="auto"/>
          <w:bottom w:val="none" w:sz="0" w:space="0" w:color="auto"/>
        </w:tblBorders>
        <w:tblLook w:val="01A0" w:firstRow="1" w:lastRow="0" w:firstColumn="1" w:lastColumn="1" w:noHBand="0" w:noVBand="0"/>
      </w:tblPr>
      <w:tblGrid>
        <w:gridCol w:w="2257"/>
        <w:gridCol w:w="7937"/>
      </w:tblGrid>
      <w:tr w:rsidR="004A339B" w:rsidRPr="004A339B" w:rsidTr="004A33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top w:val="single" w:sz="4" w:space="0" w:color="auto"/>
              <w:left w:val="single" w:sz="4" w:space="0" w:color="auto"/>
              <w:bottom w:val="single" w:sz="4" w:space="0" w:color="auto"/>
            </w:tcBorders>
            <w:shd w:val="clear" w:color="auto" w:fill="FFFFFF" w:themeFill="background1"/>
          </w:tcPr>
          <w:p w:rsidR="001D30CF" w:rsidRPr="004A339B" w:rsidRDefault="001D30CF" w:rsidP="00A36D33">
            <w:pPr>
              <w:shd w:val="clear" w:color="auto" w:fill="FFFFFF" w:themeFill="background1"/>
              <w:tabs>
                <w:tab w:val="num" w:pos="720"/>
              </w:tabs>
              <w:spacing w:after="100" w:afterAutospacing="1" w:line="240" w:lineRule="exact"/>
              <w:jc w:val="both"/>
              <w:rPr>
                <w:color w:val="000000" w:themeColor="text1"/>
                <w:sz w:val="20"/>
                <w:szCs w:val="20"/>
              </w:rPr>
            </w:pPr>
            <w:r w:rsidRPr="004A339B">
              <w:rPr>
                <w:color w:val="000000" w:themeColor="text1"/>
                <w:sz w:val="20"/>
                <w:szCs w:val="20"/>
              </w:rPr>
              <w:t>Expression</w:t>
            </w:r>
          </w:p>
        </w:tc>
        <w:tc>
          <w:tcPr>
            <w:cnfStyle w:val="000100000000" w:firstRow="0" w:lastRow="0" w:firstColumn="0" w:lastColumn="1" w:oddVBand="0" w:evenVBand="0" w:oddHBand="0" w:evenHBand="0" w:firstRowFirstColumn="0" w:firstRowLastColumn="0" w:lastRowFirstColumn="0" w:lastRowLastColumn="0"/>
            <w:tcW w:w="3893" w:type="pct"/>
            <w:tcBorders>
              <w:top w:val="single" w:sz="4" w:space="0" w:color="auto"/>
              <w:bottom w:val="single" w:sz="4" w:space="0" w:color="auto"/>
              <w:right w:val="single" w:sz="4" w:space="0" w:color="auto"/>
            </w:tcBorders>
            <w:shd w:val="clear" w:color="auto" w:fill="FFFFFF" w:themeFill="background1"/>
          </w:tcPr>
          <w:p w:rsidR="001D30CF" w:rsidRPr="004A339B" w:rsidRDefault="001D30CF" w:rsidP="00A36D33">
            <w:pPr>
              <w:shd w:val="clear" w:color="auto" w:fill="FFFFFF" w:themeFill="background1"/>
              <w:tabs>
                <w:tab w:val="num" w:pos="720"/>
              </w:tabs>
              <w:spacing w:after="100" w:afterAutospacing="1" w:line="240" w:lineRule="exact"/>
              <w:jc w:val="both"/>
              <w:rPr>
                <w:color w:val="000000" w:themeColor="text1"/>
                <w:sz w:val="20"/>
                <w:szCs w:val="20"/>
              </w:rPr>
            </w:pPr>
            <w:r w:rsidRPr="004A339B">
              <w:rPr>
                <w:color w:val="000000" w:themeColor="text1"/>
                <w:sz w:val="20"/>
                <w:szCs w:val="20"/>
              </w:rPr>
              <w:t>Meaning</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top w:val="single" w:sz="4" w:space="0" w:color="auto"/>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Administrators</w:t>
            </w:r>
          </w:p>
        </w:tc>
        <w:tc>
          <w:tcPr>
            <w:cnfStyle w:val="000100000000" w:firstRow="0" w:lastRow="0" w:firstColumn="0" w:lastColumn="1" w:oddVBand="0" w:evenVBand="0" w:oddHBand="0" w:evenHBand="0" w:firstRowFirstColumn="0" w:firstRowLastColumn="0" w:lastRowFirstColumn="0" w:lastRowLastColumn="0"/>
            <w:tcW w:w="3893" w:type="pct"/>
            <w:tcBorders>
              <w:top w:val="single" w:sz="4" w:space="0" w:color="auto"/>
              <w:left w:val="none" w:sz="0" w:space="0" w:color="auto"/>
              <w:right w:val="single" w:sz="4" w:space="0" w:color="auto"/>
            </w:tcBorders>
            <w:shd w:val="clear" w:color="auto" w:fill="F2F2F2" w:themeFill="background1" w:themeFillShade="F2"/>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The Client’s personnel identified in Table 1 who are authorised to agree changes to the scope of the Support Services and to administer this Support Agreement</w:t>
            </w:r>
          </w:p>
        </w:tc>
      </w:tr>
      <w:tr w:rsidR="001D30CF" w:rsidRPr="0062071B" w:rsidTr="00FE6512">
        <w:trPr>
          <w:trHeight w:val="371"/>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tabs>
                <w:tab w:val="num" w:pos="720"/>
              </w:tabs>
              <w:spacing w:after="100" w:afterAutospacing="1" w:line="240" w:lineRule="exact"/>
              <w:jc w:val="both"/>
              <w:rPr>
                <w:rFonts w:cstheme="minorHAnsi"/>
                <w:color w:val="000000" w:themeColor="text1"/>
                <w:sz w:val="20"/>
                <w:szCs w:val="20"/>
              </w:rPr>
            </w:pPr>
            <w:r w:rsidRPr="004467A7">
              <w:rPr>
                <w:rFonts w:cstheme="minorHAnsi"/>
                <w:color w:val="000000" w:themeColor="text1"/>
                <w:sz w:val="20"/>
                <w:szCs w:val="20"/>
              </w:rPr>
              <w:t>Charges</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 xml:space="preserve">The Charges set out in the Table on Page 1 and any additional charges due under sections </w:t>
            </w:r>
            <w:r w:rsidR="00647983">
              <w:rPr>
                <w:rFonts w:cstheme="minorHAnsi"/>
                <w:b w:val="0"/>
                <w:color w:val="auto"/>
                <w:sz w:val="20"/>
                <w:szCs w:val="20"/>
              </w:rPr>
              <w:t>3</w:t>
            </w:r>
            <w:r w:rsidR="006E7ED6">
              <w:rPr>
                <w:rFonts w:cstheme="minorHAnsi"/>
                <w:b w:val="0"/>
                <w:color w:val="auto"/>
                <w:sz w:val="20"/>
                <w:szCs w:val="20"/>
              </w:rPr>
              <w:t xml:space="preserve">.4 </w:t>
            </w:r>
            <w:r w:rsidRPr="000A5741">
              <w:rPr>
                <w:rFonts w:cstheme="minorHAnsi"/>
                <w:b w:val="0"/>
                <w:color w:val="auto"/>
                <w:sz w:val="20"/>
                <w:szCs w:val="20"/>
              </w:rPr>
              <w:t xml:space="preserve">or </w:t>
            </w:r>
            <w:r w:rsidR="00647983">
              <w:rPr>
                <w:rFonts w:cstheme="minorHAnsi"/>
                <w:b w:val="0"/>
                <w:color w:val="auto"/>
                <w:sz w:val="20"/>
                <w:szCs w:val="20"/>
              </w:rPr>
              <w:t>3</w:t>
            </w:r>
            <w:r w:rsidR="006E7ED6">
              <w:rPr>
                <w:rFonts w:cstheme="minorHAnsi"/>
                <w:b w:val="0"/>
                <w:color w:val="auto"/>
                <w:sz w:val="20"/>
                <w:szCs w:val="20"/>
              </w:rPr>
              <w:t>.7</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after="100" w:afterAutospacing="1" w:line="240" w:lineRule="exact"/>
              <w:jc w:val="both"/>
              <w:rPr>
                <w:rFonts w:cstheme="minorHAnsi"/>
                <w:color w:val="000000" w:themeColor="text1"/>
                <w:sz w:val="20"/>
                <w:szCs w:val="20"/>
              </w:rPr>
            </w:pPr>
            <w:r w:rsidRPr="004467A7">
              <w:rPr>
                <w:rFonts w:cstheme="minorHAnsi"/>
                <w:color w:val="000000" w:themeColor="text1"/>
                <w:sz w:val="20"/>
                <w:szCs w:val="20"/>
              </w:rPr>
              <w:t>Desktop Users</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right w:val="single" w:sz="4" w:space="0" w:color="auto"/>
            </w:tcBorders>
            <w:shd w:val="clear" w:color="auto" w:fill="F2F2F2" w:themeFill="background1" w:themeFillShade="F2"/>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The limited number of [named/concurrent] Client personnel authorised to use the Helpdesk and receive the Remote Desktop Module Service set out in Table 1</w:t>
            </w:r>
          </w:p>
        </w:tc>
      </w:tr>
      <w:tr w:rsidR="001D30CF" w:rsidRPr="0062071B" w:rsidTr="004A339B">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tabs>
                <w:tab w:val="num" w:pos="720"/>
              </w:tabs>
              <w:spacing w:before="100" w:beforeAutospacing="1"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Fault</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1D30CF" w:rsidRPr="000A5741" w:rsidRDefault="001D30CF" w:rsidP="00A36D33">
            <w:pPr>
              <w:tabs>
                <w:tab w:val="num" w:pos="720"/>
              </w:tabs>
              <w:spacing w:before="100" w:beforeAutospacing="1" w:after="100" w:afterAutospacing="1" w:line="240" w:lineRule="exact"/>
              <w:jc w:val="both"/>
              <w:rPr>
                <w:rFonts w:cstheme="minorHAnsi"/>
                <w:b w:val="0"/>
                <w:color w:val="auto"/>
                <w:sz w:val="20"/>
                <w:szCs w:val="20"/>
              </w:rPr>
            </w:pPr>
            <w:r w:rsidRPr="000A5741">
              <w:rPr>
                <w:rFonts w:cstheme="minorHAnsi"/>
                <w:b w:val="0"/>
                <w:color w:val="auto"/>
                <w:sz w:val="20"/>
                <w:szCs w:val="20"/>
              </w:rPr>
              <w:t>Any material discrepancy between a Specification and a Deliverable</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before="100" w:beforeAutospacing="1"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Liability Cap</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right w:val="single" w:sz="4" w:space="0" w:color="auto"/>
            </w:tcBorders>
            <w:shd w:val="clear" w:color="auto" w:fill="F2F2F2" w:themeFill="background1" w:themeFillShade="F2"/>
          </w:tcPr>
          <w:p w:rsidR="001D30CF" w:rsidRPr="000A5741" w:rsidRDefault="001D30CF" w:rsidP="00A36D33">
            <w:pPr>
              <w:tabs>
                <w:tab w:val="num" w:pos="720"/>
              </w:tabs>
              <w:spacing w:before="100" w:beforeAutospacing="1" w:after="100" w:afterAutospacing="1" w:line="240" w:lineRule="exact"/>
              <w:jc w:val="both"/>
              <w:rPr>
                <w:rFonts w:cstheme="minorHAnsi"/>
                <w:b w:val="0"/>
                <w:color w:val="auto"/>
                <w:sz w:val="20"/>
                <w:szCs w:val="20"/>
              </w:rPr>
            </w:pPr>
            <w:r w:rsidRPr="000A5741">
              <w:rPr>
                <w:rFonts w:cstheme="minorHAnsi"/>
                <w:b w:val="0"/>
                <w:color w:val="auto"/>
                <w:sz w:val="20"/>
                <w:szCs w:val="20"/>
              </w:rPr>
              <w:t>The total 6-monthly Advance Payment set out in the Table on Page 1 unless increased under paragraph</w:t>
            </w:r>
            <w:r w:rsidRPr="006E7ED6">
              <w:rPr>
                <w:rFonts w:cstheme="minorHAnsi"/>
                <w:b w:val="0"/>
                <w:color w:val="000000" w:themeColor="text1"/>
                <w:sz w:val="20"/>
                <w:szCs w:val="20"/>
              </w:rPr>
              <w:t xml:space="preserve"> </w:t>
            </w:r>
            <w:r w:rsidR="00647983">
              <w:rPr>
                <w:rFonts w:cstheme="minorHAnsi"/>
                <w:b w:val="0"/>
                <w:color w:val="000000" w:themeColor="text1"/>
                <w:sz w:val="20"/>
                <w:szCs w:val="20"/>
              </w:rPr>
              <w:t>6</w:t>
            </w:r>
            <w:r w:rsidR="000B1353">
              <w:rPr>
                <w:rFonts w:cstheme="minorHAnsi"/>
                <w:b w:val="0"/>
                <w:color w:val="000000" w:themeColor="text1"/>
                <w:sz w:val="20"/>
                <w:szCs w:val="20"/>
              </w:rPr>
              <w:t>.3</w:t>
            </w:r>
            <w:r w:rsidRPr="000A5741">
              <w:rPr>
                <w:rFonts w:cstheme="minorHAnsi"/>
                <w:b w:val="0"/>
                <w:color w:val="auto"/>
                <w:sz w:val="20"/>
                <w:szCs w:val="20"/>
              </w:rPr>
              <w:t xml:space="preserve"> and recorded in that Table</w:t>
            </w:r>
          </w:p>
        </w:tc>
      </w:tr>
      <w:tr w:rsidR="001D30CF" w:rsidRPr="0062071B" w:rsidTr="004A339B">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spacing w:before="100" w:beforeAutospacing="1" w:after="100" w:afterAutospacing="1" w:line="240" w:lineRule="exact"/>
              <w:jc w:val="both"/>
              <w:rPr>
                <w:rFonts w:cstheme="minorHAnsi"/>
                <w:b w:val="0"/>
                <w:bCs w:val="0"/>
                <w:color w:val="000000" w:themeColor="text1"/>
                <w:sz w:val="20"/>
                <w:szCs w:val="20"/>
              </w:rPr>
            </w:pPr>
            <w:r w:rsidRPr="004467A7">
              <w:rPr>
                <w:rFonts w:cstheme="minorHAnsi"/>
                <w:color w:val="000000" w:themeColor="text1"/>
                <w:sz w:val="20"/>
                <w:szCs w:val="20"/>
              </w:rPr>
              <w:t>Loss</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1D30CF" w:rsidRPr="000A5741" w:rsidRDefault="001D30CF" w:rsidP="00A36D33">
            <w:pPr>
              <w:spacing w:before="100" w:beforeAutospacing="1" w:after="100" w:afterAutospacing="1" w:line="240" w:lineRule="exact"/>
              <w:jc w:val="both"/>
              <w:rPr>
                <w:rFonts w:cstheme="minorHAnsi"/>
                <w:b w:val="0"/>
                <w:color w:val="auto"/>
                <w:sz w:val="20"/>
                <w:szCs w:val="20"/>
              </w:rPr>
            </w:pPr>
            <w:r w:rsidRPr="000A5741">
              <w:rPr>
                <w:rFonts w:cstheme="minorHAnsi"/>
                <w:b w:val="0"/>
                <w:color w:val="auto"/>
                <w:sz w:val="20"/>
                <w:szCs w:val="20"/>
              </w:rPr>
              <w:t>Loss of data, reputation or goodwill and any financial loss including (but not limited to) loss of profit, damages, expenses, costs or other claim for compensation and legal or other expenses incurred in preparing, issuing and conducting any claim or proceedings.</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Notice</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right w:val="single" w:sz="4" w:space="0" w:color="auto"/>
            </w:tcBorders>
            <w:shd w:val="clear" w:color="auto" w:fill="F2F2F2" w:themeFill="background1" w:themeFillShade="F2"/>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 xml:space="preserve">Notices must </w:t>
            </w:r>
            <w:r w:rsidR="00F11A8F">
              <w:rPr>
                <w:rFonts w:cstheme="minorHAnsi"/>
                <w:b w:val="0"/>
                <w:color w:val="auto"/>
                <w:sz w:val="20"/>
                <w:szCs w:val="20"/>
              </w:rPr>
              <w:t xml:space="preserve">be </w:t>
            </w:r>
            <w:r w:rsidRPr="000A5741">
              <w:rPr>
                <w:rFonts w:cstheme="minorHAnsi"/>
                <w:b w:val="0"/>
                <w:color w:val="auto"/>
                <w:sz w:val="20"/>
                <w:szCs w:val="20"/>
              </w:rPr>
              <w:t xml:space="preserve">sent by e-mail and a confirmed response or read receipt is satisfactory proof of delivery; the term </w:t>
            </w:r>
            <w:r w:rsidRPr="00B72C75">
              <w:rPr>
                <w:rFonts w:cstheme="minorHAnsi"/>
                <w:b w:val="0"/>
                <w:color w:val="auto"/>
                <w:sz w:val="20"/>
                <w:szCs w:val="20"/>
              </w:rPr>
              <w:t xml:space="preserve">Notify </w:t>
            </w:r>
            <w:r w:rsidRPr="000A5741">
              <w:rPr>
                <w:rFonts w:cstheme="minorHAnsi"/>
                <w:b w:val="0"/>
                <w:color w:val="auto"/>
                <w:sz w:val="20"/>
                <w:szCs w:val="20"/>
              </w:rPr>
              <w:t>shall be construed accordingly</w:t>
            </w:r>
          </w:p>
        </w:tc>
      </w:tr>
      <w:tr w:rsidR="001D30CF" w:rsidRPr="0062071B" w:rsidTr="006A7136">
        <w:trPr>
          <w:trHeight w:hRule="exact" w:val="2268"/>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 xml:space="preserve">Priority </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A36D33" w:rsidRDefault="001D30CF" w:rsidP="00A36D33">
            <w:pPr>
              <w:tabs>
                <w:tab w:val="num" w:pos="720"/>
              </w:tabs>
              <w:spacing w:after="0"/>
              <w:jc w:val="both"/>
              <w:rPr>
                <w:rFonts w:cstheme="minorHAnsi"/>
                <w:b w:val="0"/>
                <w:bCs w:val="0"/>
                <w:color w:val="auto"/>
                <w:sz w:val="20"/>
                <w:szCs w:val="20"/>
              </w:rPr>
            </w:pPr>
            <w:r w:rsidRPr="000A5741">
              <w:rPr>
                <w:rFonts w:cstheme="minorHAnsi"/>
                <w:b w:val="0"/>
                <w:color w:val="auto"/>
                <w:sz w:val="20"/>
                <w:szCs w:val="20"/>
              </w:rPr>
              <w:t xml:space="preserve">The level of importance assigned by </w:t>
            </w:r>
            <w:r w:rsidR="00481458">
              <w:rPr>
                <w:rFonts w:cstheme="minorHAnsi"/>
                <w:b w:val="0"/>
                <w:color w:val="auto"/>
                <w:sz w:val="20"/>
                <w:szCs w:val="20"/>
              </w:rPr>
              <w:t>Solutions in I.T.</w:t>
            </w:r>
            <w:r w:rsidR="00C2150E" w:rsidRPr="000A5741">
              <w:rPr>
                <w:rFonts w:cstheme="minorHAnsi"/>
                <w:b w:val="0"/>
                <w:color w:val="auto"/>
                <w:sz w:val="20"/>
                <w:szCs w:val="20"/>
              </w:rPr>
              <w:t xml:space="preserve"> </w:t>
            </w:r>
            <w:r w:rsidRPr="000A5741">
              <w:rPr>
                <w:rFonts w:cstheme="minorHAnsi"/>
                <w:b w:val="0"/>
                <w:color w:val="auto"/>
                <w:sz w:val="20"/>
                <w:szCs w:val="20"/>
              </w:rPr>
              <w:t>to any Fault in accordance with the following schema:</w:t>
            </w:r>
          </w:p>
          <w:p w:rsidR="00A36D33" w:rsidRDefault="00A36D33" w:rsidP="00A36D33">
            <w:pPr>
              <w:tabs>
                <w:tab w:val="num" w:pos="720"/>
              </w:tabs>
              <w:spacing w:after="0"/>
              <w:jc w:val="both"/>
              <w:rPr>
                <w:rFonts w:cstheme="minorHAnsi"/>
                <w:b w:val="0"/>
                <w:bCs w:val="0"/>
                <w:color w:val="auto"/>
                <w:sz w:val="20"/>
                <w:szCs w:val="20"/>
              </w:rPr>
            </w:pPr>
            <w:r>
              <w:rPr>
                <w:rFonts w:cstheme="minorHAnsi"/>
                <w:color w:val="auto"/>
                <w:sz w:val="20"/>
                <w:szCs w:val="20"/>
              </w:rPr>
              <w:t>Pr</w:t>
            </w:r>
            <w:r w:rsidR="001D30CF" w:rsidRPr="000A5741">
              <w:rPr>
                <w:rFonts w:cstheme="minorHAnsi"/>
                <w:color w:val="auto"/>
                <w:sz w:val="20"/>
                <w:szCs w:val="20"/>
              </w:rPr>
              <w:t>iority 1</w:t>
            </w:r>
            <w:r w:rsidR="001D30CF" w:rsidRPr="000A5741">
              <w:rPr>
                <w:rFonts w:cstheme="minorHAnsi"/>
                <w:b w:val="0"/>
                <w:color w:val="auto"/>
                <w:sz w:val="20"/>
                <w:szCs w:val="20"/>
              </w:rPr>
              <w:t xml:space="preserve">: </w:t>
            </w:r>
            <w:r w:rsidR="00F74CA0">
              <w:rPr>
                <w:rFonts w:cstheme="minorHAnsi"/>
                <w:b w:val="0"/>
                <w:color w:val="auto"/>
                <w:sz w:val="20"/>
                <w:szCs w:val="20"/>
              </w:rPr>
              <w:t>A</w:t>
            </w:r>
            <w:r w:rsidR="001D30CF" w:rsidRPr="000A5741">
              <w:rPr>
                <w:rFonts w:cstheme="minorHAnsi"/>
                <w:b w:val="0"/>
                <w:color w:val="auto"/>
                <w:sz w:val="20"/>
                <w:szCs w:val="20"/>
              </w:rPr>
              <w:t xml:space="preserve"> Fault that materially affects the Client’s ability to process and output accurate and usable data.</w:t>
            </w:r>
            <w:r w:rsidR="00A80059" w:rsidRPr="000A5741">
              <w:rPr>
                <w:rFonts w:cstheme="minorHAnsi"/>
                <w:b w:val="0"/>
                <w:color w:val="auto"/>
                <w:sz w:val="20"/>
                <w:szCs w:val="20"/>
              </w:rPr>
              <w:t xml:space="preserve">  </w:t>
            </w:r>
          </w:p>
          <w:p w:rsidR="00A36D33" w:rsidRDefault="001D30CF" w:rsidP="00A36D33">
            <w:pPr>
              <w:tabs>
                <w:tab w:val="num" w:pos="720"/>
              </w:tabs>
              <w:spacing w:after="0"/>
              <w:jc w:val="both"/>
              <w:rPr>
                <w:rFonts w:cstheme="minorHAnsi"/>
                <w:bCs w:val="0"/>
                <w:color w:val="auto"/>
                <w:sz w:val="20"/>
                <w:szCs w:val="20"/>
              </w:rPr>
            </w:pPr>
            <w:r w:rsidRPr="000A5741">
              <w:rPr>
                <w:rFonts w:cstheme="minorHAnsi"/>
                <w:color w:val="auto"/>
                <w:sz w:val="20"/>
                <w:szCs w:val="20"/>
              </w:rPr>
              <w:t>Priority 2</w:t>
            </w:r>
            <w:r w:rsidRPr="000A5741">
              <w:rPr>
                <w:rFonts w:cstheme="minorHAnsi"/>
                <w:b w:val="0"/>
                <w:color w:val="auto"/>
                <w:sz w:val="20"/>
                <w:szCs w:val="20"/>
              </w:rPr>
              <w:t xml:space="preserve">: </w:t>
            </w:r>
            <w:r w:rsidR="00F74CA0">
              <w:rPr>
                <w:rFonts w:cstheme="minorHAnsi"/>
                <w:b w:val="0"/>
                <w:color w:val="auto"/>
                <w:sz w:val="20"/>
                <w:szCs w:val="20"/>
              </w:rPr>
              <w:t>A</w:t>
            </w:r>
            <w:r w:rsidRPr="000A5741">
              <w:rPr>
                <w:rFonts w:cstheme="minorHAnsi"/>
                <w:b w:val="0"/>
                <w:color w:val="auto"/>
                <w:sz w:val="20"/>
                <w:szCs w:val="20"/>
              </w:rPr>
              <w:t xml:space="preserve"> Fault that meets the criteria for a Priority 1 Defect but where a temporary work-around can be deployed within a reasonable time.</w:t>
            </w:r>
            <w:r w:rsidR="00A36D33">
              <w:rPr>
                <w:rFonts w:cstheme="minorHAnsi"/>
                <w:b w:val="0"/>
                <w:color w:val="auto"/>
                <w:sz w:val="20"/>
                <w:szCs w:val="20"/>
              </w:rPr>
              <w:t xml:space="preserve"> </w:t>
            </w:r>
          </w:p>
          <w:p w:rsidR="001D30CF" w:rsidRPr="00A36D33" w:rsidRDefault="001D30CF" w:rsidP="00A36D33">
            <w:pPr>
              <w:tabs>
                <w:tab w:val="num" w:pos="720"/>
              </w:tabs>
              <w:jc w:val="both"/>
              <w:rPr>
                <w:rFonts w:cstheme="minorHAnsi"/>
                <w:bCs w:val="0"/>
                <w:color w:val="auto"/>
                <w:sz w:val="20"/>
                <w:szCs w:val="20"/>
              </w:rPr>
            </w:pPr>
            <w:r w:rsidRPr="000A5741">
              <w:rPr>
                <w:rFonts w:cstheme="minorHAnsi"/>
                <w:color w:val="auto"/>
                <w:sz w:val="20"/>
                <w:szCs w:val="20"/>
              </w:rPr>
              <w:t>Priority 3</w:t>
            </w:r>
            <w:r w:rsidRPr="000A5741">
              <w:rPr>
                <w:rFonts w:cstheme="minorHAnsi"/>
                <w:b w:val="0"/>
                <w:color w:val="auto"/>
                <w:sz w:val="20"/>
                <w:szCs w:val="20"/>
              </w:rPr>
              <w:t xml:space="preserve">: </w:t>
            </w:r>
            <w:r w:rsidR="00F74CA0">
              <w:rPr>
                <w:rFonts w:cstheme="minorHAnsi"/>
                <w:b w:val="0"/>
                <w:color w:val="auto"/>
                <w:sz w:val="20"/>
                <w:szCs w:val="20"/>
              </w:rPr>
              <w:t>A</w:t>
            </w:r>
            <w:r w:rsidRPr="000A5741">
              <w:rPr>
                <w:rFonts w:cstheme="minorHAnsi"/>
                <w:b w:val="0"/>
                <w:color w:val="auto"/>
                <w:sz w:val="20"/>
                <w:szCs w:val="20"/>
              </w:rPr>
              <w:t xml:space="preserve"> minor Fault or a request for assistance the answer to which does </w:t>
            </w:r>
            <w:r w:rsidR="007D4373" w:rsidRPr="000A5741">
              <w:rPr>
                <w:rFonts w:cstheme="minorHAnsi"/>
                <w:b w:val="0"/>
                <w:color w:val="auto"/>
                <w:sz w:val="20"/>
                <w:szCs w:val="20"/>
              </w:rPr>
              <w:t>not materially</w:t>
            </w:r>
            <w:r w:rsidRPr="000A5741">
              <w:rPr>
                <w:rFonts w:cstheme="minorHAnsi"/>
                <w:b w:val="0"/>
                <w:color w:val="auto"/>
                <w:sz w:val="20"/>
                <w:szCs w:val="20"/>
              </w:rPr>
              <w:t xml:space="preserve"> affect Client’s staff from performing critical tasks </w:t>
            </w:r>
          </w:p>
        </w:tc>
      </w:tr>
      <w:tr w:rsidR="0062071B" w:rsidRPr="0062071B" w:rsidTr="00F74CA0">
        <w:trPr>
          <w:cnfStyle w:val="000000100000" w:firstRow="0" w:lastRow="0" w:firstColumn="0" w:lastColumn="0" w:oddVBand="0" w:evenVBand="0" w:oddHBand="1" w:evenHBand="0" w:firstRowFirstColumn="0" w:firstRowLastColumn="0" w:lastRowFirstColumn="0" w:lastRowLastColumn="0"/>
          <w:trHeight w:hRule="exact" w:val="2333"/>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Service Levels</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right w:val="single" w:sz="4" w:space="0" w:color="auto"/>
            </w:tcBorders>
            <w:shd w:val="clear" w:color="auto" w:fill="F2F2F2" w:themeFill="background1" w:themeFillShade="F2"/>
          </w:tcPr>
          <w:p w:rsidR="00F74CA0" w:rsidRDefault="001D30CF" w:rsidP="00A36D33">
            <w:pPr>
              <w:tabs>
                <w:tab w:val="num" w:pos="720"/>
              </w:tabs>
              <w:spacing w:after="0"/>
              <w:jc w:val="both"/>
              <w:rPr>
                <w:rFonts w:cstheme="minorHAnsi"/>
                <w:bCs w:val="0"/>
                <w:color w:val="auto"/>
                <w:sz w:val="20"/>
                <w:szCs w:val="20"/>
              </w:rPr>
            </w:pPr>
            <w:r w:rsidRPr="000A5741">
              <w:rPr>
                <w:rFonts w:cstheme="minorHAnsi"/>
                <w:color w:val="auto"/>
                <w:sz w:val="20"/>
                <w:szCs w:val="20"/>
              </w:rPr>
              <w:t>Priority 1</w:t>
            </w:r>
            <w:r w:rsidRPr="000A5741">
              <w:rPr>
                <w:rFonts w:cstheme="minorHAnsi"/>
                <w:b w:val="0"/>
                <w:color w:val="auto"/>
                <w:sz w:val="20"/>
                <w:szCs w:val="20"/>
              </w:rPr>
              <w:t xml:space="preserve">: Response within one hour. All available suitably qualified </w:t>
            </w:r>
            <w:r w:rsidR="00481458">
              <w:rPr>
                <w:rFonts w:cstheme="minorHAnsi"/>
                <w:b w:val="0"/>
                <w:color w:val="auto"/>
                <w:sz w:val="20"/>
                <w:szCs w:val="20"/>
              </w:rPr>
              <w:t>Solutions in I.T.</w:t>
            </w:r>
            <w:r w:rsidR="007D4373" w:rsidRPr="000A5741">
              <w:rPr>
                <w:rFonts w:cstheme="minorHAnsi"/>
                <w:b w:val="0"/>
                <w:color w:val="auto"/>
                <w:sz w:val="20"/>
                <w:szCs w:val="20"/>
              </w:rPr>
              <w:t xml:space="preserve"> engineering</w:t>
            </w:r>
            <w:r w:rsidRPr="000A5741">
              <w:rPr>
                <w:rFonts w:cstheme="minorHAnsi"/>
                <w:b w:val="0"/>
                <w:color w:val="auto"/>
                <w:sz w:val="20"/>
                <w:szCs w:val="20"/>
              </w:rPr>
              <w:t xml:space="preserve"> staff</w:t>
            </w:r>
            <w:r w:rsidR="00F74CA0">
              <w:rPr>
                <w:rFonts w:cstheme="minorHAnsi"/>
                <w:b w:val="0"/>
                <w:color w:val="auto"/>
                <w:sz w:val="20"/>
                <w:szCs w:val="20"/>
              </w:rPr>
              <w:t>, along with the Node4 team,</w:t>
            </w:r>
            <w:r w:rsidRPr="000A5741">
              <w:rPr>
                <w:rFonts w:cstheme="minorHAnsi"/>
                <w:b w:val="0"/>
                <w:color w:val="auto"/>
                <w:sz w:val="20"/>
                <w:szCs w:val="20"/>
              </w:rPr>
              <w:t xml:space="preserve"> will be dedicated to fixing the problem within a target resolution time of 4 working hours.</w:t>
            </w:r>
            <w:r w:rsidR="0062071B" w:rsidRPr="000A5741">
              <w:rPr>
                <w:rFonts w:cstheme="minorHAnsi"/>
                <w:b w:val="0"/>
                <w:color w:val="auto"/>
                <w:sz w:val="20"/>
                <w:szCs w:val="20"/>
              </w:rPr>
              <w:t xml:space="preserve"> </w:t>
            </w:r>
            <w:r w:rsidR="007D4373" w:rsidRPr="000A5741">
              <w:rPr>
                <w:rFonts w:cstheme="minorHAnsi"/>
                <w:b w:val="0"/>
                <w:color w:val="auto"/>
                <w:sz w:val="20"/>
                <w:szCs w:val="20"/>
              </w:rPr>
              <w:t xml:space="preserve">                                                                                                                                          </w:t>
            </w:r>
          </w:p>
          <w:p w:rsidR="00A36D33" w:rsidRDefault="001D30CF" w:rsidP="00A36D33">
            <w:pPr>
              <w:tabs>
                <w:tab w:val="num" w:pos="720"/>
              </w:tabs>
              <w:spacing w:after="0"/>
              <w:jc w:val="both"/>
              <w:rPr>
                <w:rFonts w:cstheme="minorHAnsi"/>
                <w:bCs w:val="0"/>
                <w:color w:val="auto"/>
                <w:sz w:val="20"/>
                <w:szCs w:val="20"/>
              </w:rPr>
            </w:pPr>
            <w:r w:rsidRPr="000A5741">
              <w:rPr>
                <w:rFonts w:cstheme="minorHAnsi"/>
                <w:color w:val="auto"/>
                <w:sz w:val="20"/>
                <w:szCs w:val="20"/>
              </w:rPr>
              <w:t>Priority 2</w:t>
            </w:r>
            <w:r w:rsidRPr="000A5741">
              <w:rPr>
                <w:rFonts w:cstheme="minorHAnsi"/>
                <w:b w:val="0"/>
                <w:color w:val="auto"/>
                <w:sz w:val="20"/>
                <w:szCs w:val="20"/>
              </w:rPr>
              <w:t xml:space="preserve">: Response within four hours. One suitably qualified member of </w:t>
            </w:r>
            <w:r w:rsidR="00481458">
              <w:rPr>
                <w:rFonts w:cstheme="minorHAnsi"/>
                <w:b w:val="0"/>
                <w:color w:val="auto"/>
                <w:sz w:val="20"/>
                <w:szCs w:val="20"/>
              </w:rPr>
              <w:t>Solutions in I.T.</w:t>
            </w:r>
            <w:r w:rsidR="007D4373" w:rsidRPr="000A5741">
              <w:rPr>
                <w:rFonts w:cstheme="minorHAnsi"/>
                <w:b w:val="0"/>
                <w:color w:val="auto"/>
                <w:sz w:val="20"/>
                <w:szCs w:val="20"/>
              </w:rPr>
              <w:t xml:space="preserve"> </w:t>
            </w:r>
            <w:r w:rsidRPr="000A5741">
              <w:rPr>
                <w:rFonts w:cstheme="minorHAnsi"/>
                <w:b w:val="0"/>
                <w:color w:val="auto"/>
                <w:sz w:val="20"/>
                <w:szCs w:val="20"/>
              </w:rPr>
              <w:t>engineering staff</w:t>
            </w:r>
            <w:r w:rsidR="00F74CA0">
              <w:rPr>
                <w:rFonts w:cstheme="minorHAnsi"/>
                <w:b w:val="0"/>
                <w:color w:val="auto"/>
                <w:sz w:val="20"/>
                <w:szCs w:val="20"/>
              </w:rPr>
              <w:t>, along with our Node 4 partners,</w:t>
            </w:r>
            <w:r w:rsidRPr="000A5741">
              <w:rPr>
                <w:rFonts w:cstheme="minorHAnsi"/>
                <w:b w:val="0"/>
                <w:color w:val="auto"/>
                <w:sz w:val="20"/>
                <w:szCs w:val="20"/>
              </w:rPr>
              <w:t xml:space="preserve"> will be dedicated to fixing the problem within a target resolution time of 5 working days.</w:t>
            </w:r>
            <w:r w:rsidR="0062071B" w:rsidRPr="000A5741">
              <w:rPr>
                <w:rFonts w:cstheme="minorHAnsi"/>
                <w:b w:val="0"/>
                <w:color w:val="auto"/>
                <w:sz w:val="20"/>
                <w:szCs w:val="20"/>
              </w:rPr>
              <w:t xml:space="preserve"> </w:t>
            </w:r>
            <w:r w:rsidR="007D4373" w:rsidRPr="000A5741">
              <w:rPr>
                <w:rFonts w:cstheme="minorHAnsi"/>
                <w:b w:val="0"/>
                <w:color w:val="auto"/>
                <w:sz w:val="20"/>
                <w:szCs w:val="20"/>
              </w:rPr>
              <w:t xml:space="preserve">  </w:t>
            </w:r>
          </w:p>
          <w:p w:rsidR="001D30CF" w:rsidRPr="000A5741" w:rsidRDefault="001D30CF" w:rsidP="00A36D33">
            <w:pPr>
              <w:tabs>
                <w:tab w:val="num" w:pos="720"/>
              </w:tabs>
              <w:spacing w:after="0"/>
              <w:jc w:val="both"/>
              <w:rPr>
                <w:rFonts w:cstheme="minorHAnsi"/>
                <w:b w:val="0"/>
                <w:color w:val="auto"/>
                <w:sz w:val="20"/>
                <w:szCs w:val="20"/>
              </w:rPr>
            </w:pPr>
            <w:r w:rsidRPr="000A5741">
              <w:rPr>
                <w:rFonts w:cstheme="minorHAnsi"/>
                <w:color w:val="auto"/>
                <w:sz w:val="20"/>
                <w:szCs w:val="20"/>
              </w:rPr>
              <w:t>Priority 3</w:t>
            </w:r>
            <w:r w:rsidRPr="000A5741">
              <w:rPr>
                <w:rFonts w:cstheme="minorHAnsi"/>
                <w:b w:val="0"/>
                <w:color w:val="auto"/>
                <w:sz w:val="20"/>
                <w:szCs w:val="20"/>
              </w:rPr>
              <w:t>: Response within 1 working day. Defects in this category will be fixed during routine maintenance normally within 10 working days</w:t>
            </w:r>
          </w:p>
        </w:tc>
      </w:tr>
      <w:tr w:rsidR="001D30CF" w:rsidRPr="0062071B" w:rsidTr="006A7136">
        <w:trPr>
          <w:trHeight w:hRule="exact" w:val="284"/>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tabs>
                <w:tab w:val="num" w:pos="720"/>
              </w:tabs>
              <w:spacing w:after="100" w:afterAutospacing="1" w:line="240" w:lineRule="exact"/>
              <w:jc w:val="both"/>
              <w:rPr>
                <w:rFonts w:cstheme="minorHAnsi"/>
                <w:color w:val="000000" w:themeColor="text1"/>
                <w:sz w:val="20"/>
                <w:szCs w:val="20"/>
              </w:rPr>
            </w:pPr>
            <w:r w:rsidRPr="004467A7">
              <w:rPr>
                <w:rFonts w:cstheme="minorHAnsi"/>
                <w:color w:val="000000" w:themeColor="text1"/>
                <w:sz w:val="20"/>
                <w:szCs w:val="20"/>
              </w:rPr>
              <w:t>Service Credits</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1D30CF" w:rsidRPr="000A5741" w:rsidRDefault="00647983" w:rsidP="00A36D33">
            <w:pPr>
              <w:tabs>
                <w:tab w:val="num" w:pos="720"/>
              </w:tabs>
              <w:jc w:val="both"/>
              <w:rPr>
                <w:rFonts w:cstheme="minorHAnsi"/>
                <w:b w:val="0"/>
                <w:color w:val="auto"/>
                <w:sz w:val="20"/>
                <w:szCs w:val="20"/>
              </w:rPr>
            </w:pPr>
            <w:r>
              <w:rPr>
                <w:rFonts w:cstheme="minorHAnsi"/>
                <w:b w:val="0"/>
                <w:color w:val="auto"/>
                <w:sz w:val="20"/>
                <w:szCs w:val="20"/>
              </w:rPr>
              <w:t>See section 5</w:t>
            </w:r>
            <w:r w:rsidR="006E7ED6">
              <w:rPr>
                <w:rFonts w:cstheme="minorHAnsi"/>
                <w:b w:val="0"/>
                <w:color w:val="auto"/>
                <w:sz w:val="20"/>
                <w:szCs w:val="20"/>
              </w:rPr>
              <w:t>.3</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Support Desk</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right w:val="single" w:sz="4" w:space="0" w:color="auto"/>
            </w:tcBorders>
            <w:shd w:val="clear" w:color="auto" w:fill="F2F2F2" w:themeFill="background1" w:themeFillShade="F2"/>
          </w:tcPr>
          <w:p w:rsidR="001D30CF" w:rsidRPr="000A5741" w:rsidRDefault="00436CC7" w:rsidP="00054B84">
            <w:pPr>
              <w:tabs>
                <w:tab w:val="num" w:pos="720"/>
              </w:tabs>
              <w:spacing w:after="100" w:afterAutospacing="1" w:line="240" w:lineRule="exact"/>
              <w:jc w:val="both"/>
              <w:rPr>
                <w:rFonts w:cstheme="minorHAnsi"/>
                <w:b w:val="0"/>
                <w:color w:val="auto"/>
                <w:sz w:val="20"/>
                <w:szCs w:val="20"/>
              </w:rPr>
            </w:pPr>
            <w:r w:rsidRPr="00436CC7">
              <w:rPr>
                <w:rFonts w:cstheme="minorHAnsi"/>
                <w:b w:val="0"/>
                <w:color w:val="auto"/>
                <w:sz w:val="20"/>
                <w:szCs w:val="20"/>
              </w:rPr>
              <w:t>For Cloud Hosting</w:t>
            </w:r>
            <w:r w:rsidR="00054B84">
              <w:rPr>
                <w:rFonts w:cstheme="minorHAnsi"/>
                <w:b w:val="0"/>
                <w:color w:val="auto"/>
                <w:sz w:val="20"/>
                <w:szCs w:val="20"/>
              </w:rPr>
              <w:t xml:space="preserve"> support</w:t>
            </w:r>
            <w:r w:rsidRPr="00436CC7">
              <w:rPr>
                <w:rFonts w:cstheme="minorHAnsi"/>
                <w:b w:val="0"/>
                <w:color w:val="auto"/>
                <w:sz w:val="20"/>
                <w:szCs w:val="20"/>
              </w:rPr>
              <w:t xml:space="preserve"> please call us on </w:t>
            </w:r>
            <w:r w:rsidRPr="006A7136">
              <w:rPr>
                <w:rFonts w:cstheme="minorHAnsi"/>
                <w:color w:val="auto"/>
                <w:sz w:val="20"/>
                <w:szCs w:val="20"/>
              </w:rPr>
              <w:t>01858 414 238</w:t>
            </w:r>
            <w:r w:rsidRPr="00436CC7">
              <w:rPr>
                <w:rFonts w:cstheme="minorHAnsi"/>
                <w:b w:val="0"/>
                <w:color w:val="auto"/>
                <w:sz w:val="20"/>
                <w:szCs w:val="20"/>
              </w:rPr>
              <w:t xml:space="preserve"> or</w:t>
            </w:r>
            <w:r w:rsidR="00054B84">
              <w:rPr>
                <w:rFonts w:cstheme="minorHAnsi"/>
                <w:b w:val="0"/>
                <w:color w:val="auto"/>
                <w:sz w:val="20"/>
                <w:szCs w:val="20"/>
              </w:rPr>
              <w:t xml:space="preserve"> </w:t>
            </w:r>
            <w:r w:rsidR="00054B84" w:rsidRPr="00054B84">
              <w:rPr>
                <w:rFonts w:cstheme="minorHAnsi"/>
                <w:color w:val="auto"/>
                <w:sz w:val="20"/>
                <w:szCs w:val="20"/>
              </w:rPr>
              <w:t>0845 009 4588</w:t>
            </w:r>
            <w:r w:rsidR="00054B84">
              <w:rPr>
                <w:rFonts w:cstheme="minorHAnsi"/>
                <w:b w:val="0"/>
                <w:color w:val="auto"/>
                <w:sz w:val="20"/>
                <w:szCs w:val="20"/>
              </w:rPr>
              <w:t xml:space="preserve"> or</w:t>
            </w:r>
            <w:r w:rsidRPr="00436CC7">
              <w:rPr>
                <w:rFonts w:cstheme="minorHAnsi"/>
                <w:b w:val="0"/>
                <w:color w:val="auto"/>
                <w:sz w:val="20"/>
                <w:szCs w:val="20"/>
              </w:rPr>
              <w:t xml:space="preserve"> </w:t>
            </w:r>
            <w:r>
              <w:rPr>
                <w:rFonts w:cstheme="minorHAnsi"/>
                <w:b w:val="0"/>
                <w:color w:val="auto"/>
                <w:sz w:val="20"/>
                <w:szCs w:val="20"/>
              </w:rPr>
              <w:t xml:space="preserve">email </w:t>
            </w:r>
            <w:hyperlink r:id="rId8" w:history="1">
              <w:r w:rsidR="00054B84" w:rsidRPr="002A613E">
                <w:rPr>
                  <w:rStyle w:val="Hyperlink"/>
                  <w:rFonts w:cstheme="minorHAnsi"/>
                  <w:sz w:val="20"/>
                  <w:szCs w:val="20"/>
                </w:rPr>
                <w:t>support@solutionsinit.com</w:t>
              </w:r>
            </w:hyperlink>
          </w:p>
        </w:tc>
      </w:tr>
      <w:tr w:rsidR="001D30CF" w:rsidRPr="0062071B" w:rsidTr="004A339B">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Support Hours</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0</w:t>
            </w:r>
            <w:r w:rsidR="00054B84">
              <w:rPr>
                <w:rFonts w:cstheme="minorHAnsi"/>
                <w:b w:val="0"/>
                <w:color w:val="auto"/>
                <w:sz w:val="20"/>
                <w:szCs w:val="20"/>
              </w:rPr>
              <w:t>8</w:t>
            </w:r>
            <w:r w:rsidRPr="000A5741">
              <w:rPr>
                <w:rFonts w:cstheme="minorHAnsi"/>
                <w:b w:val="0"/>
                <w:color w:val="auto"/>
                <w:sz w:val="20"/>
                <w:szCs w:val="20"/>
              </w:rPr>
              <w:t>:00 to 17:00 on working days. Notifications received after 4:00pm will be deemed received the next following working day.</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right w:val="none" w:sz="0" w:space="0" w:color="auto"/>
            </w:tcBorders>
            <w:shd w:val="clear" w:color="auto" w:fill="F2F2F2" w:themeFill="background1" w:themeFillShade="F2"/>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System</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right w:val="single" w:sz="4" w:space="0" w:color="auto"/>
            </w:tcBorders>
            <w:shd w:val="clear" w:color="auto" w:fill="F2F2F2" w:themeFill="background1" w:themeFillShade="F2"/>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The hardware and communications set out in Table 1</w:t>
            </w:r>
          </w:p>
        </w:tc>
      </w:tr>
      <w:tr w:rsidR="001D30CF" w:rsidRPr="0062071B" w:rsidTr="004A339B">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tcBorders>
            <w:shd w:val="clear" w:color="auto" w:fill="FFFFFF" w:themeFill="background1"/>
          </w:tcPr>
          <w:p w:rsidR="001D30CF" w:rsidRPr="004467A7" w:rsidRDefault="001D30CF" w:rsidP="00A36D33">
            <w:pPr>
              <w:tabs>
                <w:tab w:val="num" w:pos="720"/>
              </w:tabs>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Unexpected Event</w:t>
            </w:r>
          </w:p>
        </w:tc>
        <w:tc>
          <w:tcPr>
            <w:cnfStyle w:val="000100000000" w:firstRow="0" w:lastRow="0" w:firstColumn="0" w:lastColumn="1" w:oddVBand="0" w:evenVBand="0" w:oddHBand="0" w:evenHBand="0" w:firstRowFirstColumn="0" w:firstRowLastColumn="0" w:lastRowFirstColumn="0" w:lastRowLastColumn="0"/>
            <w:tcW w:w="3893" w:type="pct"/>
            <w:tcBorders>
              <w:right w:val="single" w:sz="4" w:space="0" w:color="auto"/>
            </w:tcBorders>
            <w:shd w:val="clear" w:color="auto" w:fill="FFFFFF" w:themeFill="background1"/>
          </w:tcPr>
          <w:p w:rsidR="001D30CF" w:rsidRPr="000A5741" w:rsidRDefault="001D30CF" w:rsidP="00A36D33">
            <w:pPr>
              <w:tabs>
                <w:tab w:val="num" w:pos="720"/>
              </w:tabs>
              <w:spacing w:after="100" w:afterAutospacing="1" w:line="240" w:lineRule="exact"/>
              <w:jc w:val="both"/>
              <w:rPr>
                <w:rFonts w:cstheme="minorHAnsi"/>
                <w:b w:val="0"/>
                <w:color w:val="auto"/>
                <w:sz w:val="20"/>
                <w:szCs w:val="20"/>
              </w:rPr>
            </w:pPr>
            <w:r w:rsidRPr="000A5741">
              <w:rPr>
                <w:rFonts w:cstheme="minorHAnsi"/>
                <w:b w:val="0"/>
                <w:color w:val="auto"/>
                <w:sz w:val="20"/>
                <w:szCs w:val="20"/>
              </w:rPr>
              <w:t xml:space="preserve">An event outside a party’s reasonable control.  </w:t>
            </w:r>
          </w:p>
        </w:tc>
      </w:tr>
      <w:tr w:rsidR="0062071B" w:rsidRPr="0062071B" w:rsidTr="003B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pct"/>
            <w:tcBorders>
              <w:left w:val="single" w:sz="4" w:space="0" w:color="auto"/>
              <w:bottom w:val="single" w:sz="4" w:space="0" w:color="auto"/>
              <w:right w:val="none" w:sz="0" w:space="0" w:color="auto"/>
            </w:tcBorders>
            <w:shd w:val="clear" w:color="auto" w:fill="F2F2F2" w:themeFill="background1" w:themeFillShade="F2"/>
          </w:tcPr>
          <w:p w:rsidR="001D30CF" w:rsidRPr="004467A7" w:rsidRDefault="001D30CF" w:rsidP="00A36D33">
            <w:pPr>
              <w:spacing w:after="100" w:afterAutospacing="1" w:line="240" w:lineRule="exact"/>
              <w:jc w:val="both"/>
              <w:rPr>
                <w:rFonts w:cstheme="minorHAnsi"/>
                <w:b w:val="0"/>
                <w:color w:val="000000" w:themeColor="text1"/>
                <w:sz w:val="20"/>
                <w:szCs w:val="20"/>
              </w:rPr>
            </w:pPr>
            <w:r w:rsidRPr="004467A7">
              <w:rPr>
                <w:rFonts w:cstheme="minorHAnsi"/>
                <w:color w:val="000000" w:themeColor="text1"/>
                <w:sz w:val="20"/>
                <w:szCs w:val="20"/>
              </w:rPr>
              <w:t>Website</w:t>
            </w:r>
          </w:p>
        </w:tc>
        <w:tc>
          <w:tcPr>
            <w:cnfStyle w:val="000100000000" w:firstRow="0" w:lastRow="0" w:firstColumn="0" w:lastColumn="1" w:oddVBand="0" w:evenVBand="0" w:oddHBand="0" w:evenHBand="0" w:firstRowFirstColumn="0" w:firstRowLastColumn="0" w:lastRowFirstColumn="0" w:lastRowLastColumn="0"/>
            <w:tcW w:w="3893" w:type="pct"/>
            <w:tcBorders>
              <w:left w:val="none" w:sz="0" w:space="0" w:color="auto"/>
              <w:bottom w:val="single" w:sz="4" w:space="0" w:color="auto"/>
              <w:right w:val="single" w:sz="4" w:space="0" w:color="auto"/>
            </w:tcBorders>
            <w:shd w:val="clear" w:color="auto" w:fill="F2F2F2" w:themeFill="background1" w:themeFillShade="F2"/>
          </w:tcPr>
          <w:p w:rsidR="001D30CF" w:rsidRPr="0028014E" w:rsidRDefault="00344044" w:rsidP="00A36D33">
            <w:pPr>
              <w:spacing w:after="100" w:afterAutospacing="1" w:line="240" w:lineRule="exact"/>
              <w:jc w:val="both"/>
              <w:rPr>
                <w:rFonts w:cstheme="minorHAnsi"/>
                <w:b w:val="0"/>
                <w:color w:val="auto"/>
                <w:sz w:val="20"/>
                <w:szCs w:val="20"/>
              </w:rPr>
            </w:pPr>
            <w:hyperlink r:id="rId9" w:history="1">
              <w:r w:rsidR="00436CC7" w:rsidRPr="00DD3EF0">
                <w:rPr>
                  <w:rStyle w:val="Hyperlink"/>
                  <w:rFonts w:cstheme="minorHAnsi"/>
                  <w:sz w:val="20"/>
                  <w:szCs w:val="20"/>
                </w:rPr>
                <w:t>www.</w:t>
              </w:r>
              <w:r w:rsidR="00B57E92">
                <w:rPr>
                  <w:rStyle w:val="Hyperlink"/>
                  <w:rFonts w:cstheme="minorHAnsi"/>
                  <w:sz w:val="20"/>
                  <w:szCs w:val="20"/>
                </w:rPr>
                <w:t>EMiR</w:t>
              </w:r>
              <w:r w:rsidR="00436CC7" w:rsidRPr="00DD3EF0">
                <w:rPr>
                  <w:rStyle w:val="Hyperlink"/>
                  <w:rFonts w:cstheme="minorHAnsi"/>
                  <w:sz w:val="20"/>
                  <w:szCs w:val="20"/>
                </w:rPr>
                <w:t>software.com</w:t>
              </w:r>
            </w:hyperlink>
            <w:r w:rsidR="00436CC7">
              <w:rPr>
                <w:rFonts w:cstheme="minorHAnsi"/>
                <w:b w:val="0"/>
                <w:color w:val="auto"/>
                <w:sz w:val="20"/>
                <w:szCs w:val="20"/>
              </w:rPr>
              <w:t xml:space="preserve"> </w:t>
            </w:r>
          </w:p>
        </w:tc>
      </w:tr>
    </w:tbl>
    <w:p w:rsidR="00E965FA" w:rsidRPr="00647983" w:rsidRDefault="00647983" w:rsidP="00A36D33">
      <w:pPr>
        <w:spacing w:before="240" w:after="0" w:line="240" w:lineRule="auto"/>
        <w:jc w:val="both"/>
        <w:rPr>
          <w:rFonts w:cstheme="minorHAnsi"/>
          <w:sz w:val="20"/>
          <w:szCs w:val="20"/>
        </w:rPr>
      </w:pPr>
      <w:r>
        <w:rPr>
          <w:rFonts w:cstheme="minorHAnsi"/>
          <w:sz w:val="20"/>
          <w:szCs w:val="20"/>
        </w:rPr>
        <w:t xml:space="preserve">2.2 </w:t>
      </w:r>
      <w:r w:rsidR="003E33C4" w:rsidRPr="00647983">
        <w:rPr>
          <w:rFonts w:cstheme="minorHAnsi"/>
          <w:sz w:val="20"/>
          <w:szCs w:val="20"/>
        </w:rPr>
        <w:t>Working day means any weekday other than public holidays in England &amp; Wales.</w:t>
      </w:r>
    </w:p>
    <w:p w:rsidR="007D4373" w:rsidRPr="00647983" w:rsidRDefault="00647983" w:rsidP="00A36D33">
      <w:pPr>
        <w:spacing w:before="240" w:after="0" w:line="240" w:lineRule="auto"/>
        <w:jc w:val="both"/>
        <w:rPr>
          <w:rFonts w:cstheme="minorHAnsi"/>
          <w:sz w:val="21"/>
          <w:szCs w:val="21"/>
        </w:rPr>
      </w:pPr>
      <w:r>
        <w:rPr>
          <w:rFonts w:cstheme="minorHAnsi"/>
          <w:sz w:val="20"/>
          <w:szCs w:val="20"/>
        </w:rPr>
        <w:t xml:space="preserve">2.3 </w:t>
      </w:r>
      <w:r w:rsidR="003E33C4" w:rsidRPr="00647983">
        <w:rPr>
          <w:rFonts w:cstheme="minorHAnsi"/>
          <w:sz w:val="20"/>
          <w:szCs w:val="20"/>
        </w:rPr>
        <w:t>Where the word “including” is followed by a list of examples it will deemed to be followed by</w:t>
      </w:r>
      <w:r w:rsidR="007D4373" w:rsidRPr="00647983">
        <w:rPr>
          <w:rFonts w:cstheme="minorHAnsi"/>
          <w:sz w:val="20"/>
          <w:szCs w:val="20"/>
        </w:rPr>
        <w:t xml:space="preserve"> the words “but not limited to”</w:t>
      </w:r>
      <w:r w:rsidR="00D155DD" w:rsidRPr="00647983">
        <w:rPr>
          <w:rFonts w:cstheme="minorHAnsi"/>
          <w:sz w:val="20"/>
          <w:szCs w:val="20"/>
        </w:rPr>
        <w:t>.</w:t>
      </w:r>
    </w:p>
    <w:p w:rsidR="003E33C4" w:rsidRPr="00DC7D57" w:rsidRDefault="00647983" w:rsidP="00647983">
      <w:pPr>
        <w:pStyle w:val="Heading1"/>
        <w:numPr>
          <w:ilvl w:val="0"/>
          <w:numId w:val="0"/>
        </w:numPr>
        <w:spacing w:after="0" w:line="240" w:lineRule="auto"/>
        <w:rPr>
          <w:color w:val="002060"/>
          <w:sz w:val="24"/>
          <w:szCs w:val="26"/>
        </w:rPr>
      </w:pPr>
      <w:r w:rsidRPr="00DC7D57">
        <w:rPr>
          <w:color w:val="002060"/>
          <w:sz w:val="24"/>
          <w:szCs w:val="26"/>
        </w:rPr>
        <w:lastRenderedPageBreak/>
        <w:t xml:space="preserve">3. </w:t>
      </w:r>
      <w:r w:rsidR="003E33C4" w:rsidRPr="00DC7D57">
        <w:rPr>
          <w:color w:val="002060"/>
          <w:sz w:val="24"/>
          <w:szCs w:val="26"/>
        </w:rPr>
        <w:t>Support Services</w:t>
      </w:r>
    </w:p>
    <w:p w:rsidR="00035872" w:rsidRPr="00035872" w:rsidRDefault="00035872" w:rsidP="00035872">
      <w:pPr>
        <w:pStyle w:val="ListParagraph"/>
        <w:keepNext/>
        <w:keepLines/>
        <w:numPr>
          <w:ilvl w:val="0"/>
          <w:numId w:val="8"/>
        </w:numPr>
        <w:spacing w:after="0" w:line="240" w:lineRule="auto"/>
        <w:contextualSpacing w:val="0"/>
        <w:outlineLvl w:val="1"/>
        <w:rPr>
          <w:rFonts w:eastAsia="Times New Roman"/>
          <w:bCs/>
          <w:vanish/>
          <w:color w:val="000000" w:themeColor="text1"/>
          <w:sz w:val="20"/>
          <w:szCs w:val="26"/>
          <w:lang w:eastAsia="en-GB"/>
        </w:rPr>
      </w:pPr>
    </w:p>
    <w:p w:rsidR="00035872" w:rsidRPr="00035872" w:rsidRDefault="00035872" w:rsidP="00035872">
      <w:pPr>
        <w:pStyle w:val="ListParagraph"/>
        <w:keepNext/>
        <w:keepLines/>
        <w:numPr>
          <w:ilvl w:val="0"/>
          <w:numId w:val="8"/>
        </w:numPr>
        <w:spacing w:after="0" w:line="240" w:lineRule="auto"/>
        <w:contextualSpacing w:val="0"/>
        <w:outlineLvl w:val="1"/>
        <w:rPr>
          <w:rFonts w:eastAsia="Times New Roman"/>
          <w:bCs/>
          <w:vanish/>
          <w:color w:val="000000" w:themeColor="text1"/>
          <w:sz w:val="20"/>
          <w:szCs w:val="26"/>
          <w:lang w:eastAsia="en-GB"/>
        </w:rPr>
      </w:pPr>
    </w:p>
    <w:p w:rsidR="00035872" w:rsidRPr="00035872" w:rsidRDefault="00035872" w:rsidP="00035872">
      <w:pPr>
        <w:pStyle w:val="ListParagraph"/>
        <w:keepNext/>
        <w:keepLines/>
        <w:numPr>
          <w:ilvl w:val="0"/>
          <w:numId w:val="8"/>
        </w:numPr>
        <w:spacing w:after="0" w:line="240" w:lineRule="auto"/>
        <w:contextualSpacing w:val="0"/>
        <w:outlineLvl w:val="1"/>
        <w:rPr>
          <w:rFonts w:eastAsia="Times New Roman"/>
          <w:bCs/>
          <w:vanish/>
          <w:color w:val="000000" w:themeColor="text1"/>
          <w:sz w:val="20"/>
          <w:szCs w:val="26"/>
          <w:lang w:eastAsia="en-GB"/>
        </w:rPr>
      </w:pPr>
    </w:p>
    <w:p w:rsidR="00ED3987" w:rsidRPr="00E965FA" w:rsidRDefault="00035872" w:rsidP="00A36D33">
      <w:pPr>
        <w:pStyle w:val="Heading2"/>
        <w:numPr>
          <w:ilvl w:val="1"/>
          <w:numId w:val="8"/>
        </w:numPr>
        <w:spacing w:before="0" w:after="0" w:line="240" w:lineRule="auto"/>
        <w:ind w:left="432"/>
        <w:jc w:val="both"/>
        <w:rPr>
          <w:b w:val="0"/>
          <w:color w:val="000000" w:themeColor="text1"/>
          <w:sz w:val="20"/>
        </w:rPr>
      </w:pPr>
      <w:r>
        <w:rPr>
          <w:b w:val="0"/>
          <w:color w:val="000000" w:themeColor="text1"/>
          <w:sz w:val="20"/>
        </w:rPr>
        <w:t xml:space="preserve">   </w:t>
      </w:r>
      <w:r w:rsidR="00060B18" w:rsidRPr="00E965FA">
        <w:rPr>
          <w:b w:val="0"/>
          <w:color w:val="000000" w:themeColor="text1"/>
          <w:sz w:val="20"/>
        </w:rPr>
        <w:t>The Support Agreement comprises the details set out in the Table on Page 1 and these Support T&amp;Cs.</w:t>
      </w:r>
    </w:p>
    <w:p w:rsidR="00060B18" w:rsidRPr="00817DA9" w:rsidRDefault="00060B18" w:rsidP="00817DA9">
      <w:pPr>
        <w:pStyle w:val="Heading2"/>
        <w:numPr>
          <w:ilvl w:val="1"/>
          <w:numId w:val="8"/>
        </w:numPr>
        <w:spacing w:before="0" w:after="0" w:line="240" w:lineRule="auto"/>
        <w:ind w:left="578" w:hanging="578"/>
        <w:jc w:val="both"/>
        <w:rPr>
          <w:b w:val="0"/>
          <w:color w:val="000000" w:themeColor="text1"/>
          <w:sz w:val="20"/>
        </w:rPr>
      </w:pPr>
      <w:r w:rsidRPr="00E965FA">
        <w:rPr>
          <w:b w:val="0"/>
          <w:color w:val="000000" w:themeColor="text1"/>
          <w:sz w:val="20"/>
        </w:rPr>
        <w:t>The contract for the Support Services begins at 9:00 am on the</w:t>
      </w:r>
      <w:r w:rsidR="000B6A82">
        <w:rPr>
          <w:b w:val="0"/>
          <w:color w:val="000000" w:themeColor="text1"/>
          <w:sz w:val="20"/>
        </w:rPr>
        <w:t xml:space="preserve"> Original</w:t>
      </w:r>
      <w:r w:rsidRPr="00E965FA">
        <w:rPr>
          <w:b w:val="0"/>
          <w:color w:val="000000" w:themeColor="text1"/>
          <w:sz w:val="20"/>
        </w:rPr>
        <w:t xml:space="preserve"> Start Date and runs for one year, following which it will automatically renew for further periods of 6 months unless terminated by either party by giving a Notice at least 1 month in advance of the renewal date.</w:t>
      </w:r>
      <w:r w:rsidR="000B6A82">
        <w:rPr>
          <w:b w:val="0"/>
          <w:color w:val="000000" w:themeColor="text1"/>
          <w:sz w:val="20"/>
        </w:rPr>
        <w:t xml:space="preserve"> The effective from date represents the most recent issue of the contract at the current price.</w:t>
      </w:r>
    </w:p>
    <w:p w:rsidR="00060B18" w:rsidRPr="00E965FA" w:rsidRDefault="00035872" w:rsidP="00A36D33">
      <w:pPr>
        <w:spacing w:after="0" w:line="240" w:lineRule="auto"/>
        <w:ind w:left="578" w:hanging="578"/>
        <w:jc w:val="both"/>
        <w:rPr>
          <w:sz w:val="20"/>
          <w:lang w:eastAsia="en-GB"/>
        </w:rPr>
      </w:pPr>
      <w:r>
        <w:rPr>
          <w:sz w:val="20"/>
          <w:lang w:eastAsia="en-GB"/>
        </w:rPr>
        <w:t>3</w:t>
      </w:r>
      <w:r w:rsidR="00060B18" w:rsidRPr="00E965FA">
        <w:rPr>
          <w:sz w:val="20"/>
          <w:lang w:eastAsia="en-GB"/>
        </w:rPr>
        <w:t xml:space="preserve">.3      </w:t>
      </w:r>
      <w:r w:rsidR="006A7136">
        <w:rPr>
          <w:sz w:val="20"/>
          <w:lang w:eastAsia="en-GB"/>
        </w:rPr>
        <w:t xml:space="preserve"> </w:t>
      </w:r>
      <w:r w:rsidR="00481458">
        <w:rPr>
          <w:sz w:val="20"/>
          <w:lang w:eastAsia="en-GB"/>
        </w:rPr>
        <w:t>Solutions in I.T.</w:t>
      </w:r>
      <w:r w:rsidR="00817DA9">
        <w:rPr>
          <w:sz w:val="20"/>
          <w:lang w:eastAsia="en-GB"/>
        </w:rPr>
        <w:t>’s</w:t>
      </w:r>
      <w:r w:rsidR="00060B18" w:rsidRPr="00E965FA">
        <w:rPr>
          <w:sz w:val="20"/>
          <w:lang w:eastAsia="en-GB"/>
        </w:rPr>
        <w:t xml:space="preserve"> obligations to provide the Support Services are restricted only to:</w:t>
      </w:r>
    </w:p>
    <w:p w:rsidR="00060B18" w:rsidRPr="00E965FA" w:rsidRDefault="00060B18" w:rsidP="00A36D33">
      <w:pPr>
        <w:spacing w:after="0" w:line="240" w:lineRule="auto"/>
        <w:ind w:left="578" w:hanging="578"/>
        <w:jc w:val="both"/>
        <w:rPr>
          <w:sz w:val="20"/>
          <w:lang w:eastAsia="en-GB"/>
        </w:rPr>
      </w:pPr>
      <w:r w:rsidRPr="00E965FA">
        <w:rPr>
          <w:sz w:val="20"/>
          <w:lang w:eastAsia="en-GB"/>
        </w:rPr>
        <w:tab/>
        <w:t xml:space="preserve">a. Responding to Faults </w:t>
      </w:r>
      <w:r w:rsidR="00C2150E" w:rsidRPr="00E965FA">
        <w:rPr>
          <w:sz w:val="20"/>
          <w:lang w:eastAsia="en-GB"/>
        </w:rPr>
        <w:t>notified by</w:t>
      </w:r>
      <w:r w:rsidRPr="00E965FA">
        <w:rPr>
          <w:sz w:val="20"/>
          <w:lang w:eastAsia="en-GB"/>
        </w:rPr>
        <w:t xml:space="preserve"> Desktop Users and Administrators; and </w:t>
      </w:r>
    </w:p>
    <w:p w:rsidR="00060B18" w:rsidRPr="00E965FA" w:rsidRDefault="00060B18" w:rsidP="00A36D33">
      <w:pPr>
        <w:spacing w:after="0" w:line="240" w:lineRule="auto"/>
        <w:ind w:left="578" w:hanging="578"/>
        <w:jc w:val="both"/>
        <w:rPr>
          <w:sz w:val="20"/>
          <w:lang w:eastAsia="en-GB"/>
        </w:rPr>
      </w:pPr>
      <w:r w:rsidRPr="00E965FA">
        <w:rPr>
          <w:sz w:val="20"/>
          <w:lang w:eastAsia="en-GB"/>
        </w:rPr>
        <w:tab/>
        <w:t>b. Faults in those Systems listed in Table 1</w:t>
      </w:r>
    </w:p>
    <w:p w:rsidR="00060B18" w:rsidRPr="00E965FA" w:rsidRDefault="00035872" w:rsidP="00A36D33">
      <w:pPr>
        <w:spacing w:after="0" w:line="240" w:lineRule="auto"/>
        <w:ind w:left="578" w:hanging="578"/>
        <w:jc w:val="both"/>
        <w:rPr>
          <w:sz w:val="20"/>
          <w:lang w:eastAsia="en-GB"/>
        </w:rPr>
      </w:pPr>
      <w:r>
        <w:rPr>
          <w:sz w:val="20"/>
          <w:lang w:eastAsia="en-GB"/>
        </w:rPr>
        <w:t>3</w:t>
      </w:r>
      <w:r w:rsidR="00060B18" w:rsidRPr="00E965FA">
        <w:rPr>
          <w:sz w:val="20"/>
          <w:lang w:eastAsia="en-GB"/>
        </w:rPr>
        <w:t>.4</w:t>
      </w:r>
      <w:r w:rsidR="00060B18" w:rsidRPr="00E965FA">
        <w:rPr>
          <w:sz w:val="20"/>
          <w:lang w:eastAsia="en-GB"/>
        </w:rPr>
        <w:tab/>
        <w:t xml:space="preserve">The Client’s Administrators may request </w:t>
      </w:r>
      <w:r w:rsidR="00481458">
        <w:rPr>
          <w:sz w:val="20"/>
          <w:lang w:eastAsia="en-GB"/>
        </w:rPr>
        <w:t>Solutions in I.T.</w:t>
      </w:r>
      <w:r w:rsidR="00C2150E" w:rsidRPr="00E965FA">
        <w:rPr>
          <w:sz w:val="20"/>
          <w:lang w:eastAsia="en-GB"/>
        </w:rPr>
        <w:t xml:space="preserve"> to</w:t>
      </w:r>
      <w:r w:rsidR="00060B18" w:rsidRPr="00E965FA">
        <w:rPr>
          <w:sz w:val="20"/>
          <w:lang w:eastAsia="en-GB"/>
        </w:rPr>
        <w:t xml:space="preserve"> extend the scope of the Support Services to additional Desktop Users or Systems and in such a case </w:t>
      </w:r>
      <w:r w:rsidR="00481458">
        <w:rPr>
          <w:sz w:val="20"/>
          <w:lang w:eastAsia="en-GB"/>
        </w:rPr>
        <w:t>Solutions in I.T.</w:t>
      </w:r>
      <w:r w:rsidR="00C2150E" w:rsidRPr="00E965FA">
        <w:rPr>
          <w:sz w:val="20"/>
          <w:lang w:eastAsia="en-GB"/>
        </w:rPr>
        <w:t xml:space="preserve"> </w:t>
      </w:r>
      <w:r w:rsidR="00060B18" w:rsidRPr="00E965FA">
        <w:rPr>
          <w:sz w:val="20"/>
          <w:lang w:eastAsia="en-GB"/>
        </w:rPr>
        <w:t xml:space="preserve">will promptly </w:t>
      </w:r>
      <w:r w:rsidR="00481458" w:rsidRPr="00E965FA">
        <w:rPr>
          <w:sz w:val="20"/>
          <w:lang w:eastAsia="en-GB"/>
        </w:rPr>
        <w:t>notify</w:t>
      </w:r>
      <w:r w:rsidR="00060B18" w:rsidRPr="00E965FA">
        <w:rPr>
          <w:sz w:val="20"/>
          <w:lang w:eastAsia="en-GB"/>
        </w:rPr>
        <w:t xml:space="preserve"> the Client of any impact on the Charges.  If the Client accepts the revised Charges </w:t>
      </w:r>
      <w:r w:rsidR="00481458">
        <w:rPr>
          <w:sz w:val="20"/>
          <w:lang w:eastAsia="en-GB"/>
        </w:rPr>
        <w:t>Solutions in I.T.</w:t>
      </w:r>
      <w:r w:rsidR="00C2150E" w:rsidRPr="00E965FA">
        <w:rPr>
          <w:sz w:val="20"/>
          <w:lang w:eastAsia="en-GB"/>
        </w:rPr>
        <w:t xml:space="preserve"> </w:t>
      </w:r>
      <w:r w:rsidR="00060B18" w:rsidRPr="00E965FA">
        <w:rPr>
          <w:sz w:val="20"/>
          <w:lang w:eastAsia="en-GB"/>
        </w:rPr>
        <w:t>will issue a revised Support Agreement with the updated details included in a revised Table.</w:t>
      </w:r>
    </w:p>
    <w:p w:rsidR="00060B18" w:rsidRPr="00E965FA" w:rsidRDefault="00035872" w:rsidP="00A36D33">
      <w:pPr>
        <w:spacing w:after="0" w:line="240" w:lineRule="auto"/>
        <w:ind w:left="578" w:hanging="578"/>
        <w:jc w:val="both"/>
        <w:rPr>
          <w:rFonts w:cs="Arial"/>
          <w:sz w:val="20"/>
        </w:rPr>
      </w:pPr>
      <w:r>
        <w:rPr>
          <w:sz w:val="20"/>
          <w:lang w:eastAsia="en-GB"/>
        </w:rPr>
        <w:t>3</w:t>
      </w:r>
      <w:r w:rsidR="00060B18" w:rsidRPr="00E965FA">
        <w:rPr>
          <w:sz w:val="20"/>
          <w:lang w:eastAsia="en-GB"/>
        </w:rPr>
        <w:t xml:space="preserve">.5 </w:t>
      </w:r>
      <w:r w:rsidR="00060B18" w:rsidRPr="00E965FA">
        <w:rPr>
          <w:sz w:val="20"/>
          <w:lang w:eastAsia="en-GB"/>
        </w:rPr>
        <w:tab/>
      </w:r>
      <w:r w:rsidR="00481458">
        <w:rPr>
          <w:rFonts w:cs="Arial"/>
          <w:sz w:val="20"/>
        </w:rPr>
        <w:t>Solutions in I.T.</w:t>
      </w:r>
      <w:r w:rsidR="00C2150E" w:rsidRPr="00E965FA">
        <w:rPr>
          <w:rFonts w:cs="Arial"/>
          <w:sz w:val="20"/>
        </w:rPr>
        <w:t xml:space="preserve"> </w:t>
      </w:r>
      <w:r w:rsidR="00060B18" w:rsidRPr="00E965FA">
        <w:rPr>
          <w:rFonts w:cs="Arial"/>
          <w:sz w:val="20"/>
        </w:rPr>
        <w:t>will provide the Support Services listed in the Table on Page 1 with diligence, professionalism and skill</w:t>
      </w:r>
    </w:p>
    <w:p w:rsidR="00060B18" w:rsidRPr="00E965FA" w:rsidRDefault="00035872" w:rsidP="00A36D33">
      <w:pPr>
        <w:spacing w:after="0" w:line="240" w:lineRule="auto"/>
        <w:ind w:left="578" w:hanging="578"/>
        <w:jc w:val="both"/>
        <w:rPr>
          <w:sz w:val="20"/>
          <w:lang w:eastAsia="en-GB"/>
        </w:rPr>
      </w:pPr>
      <w:r>
        <w:rPr>
          <w:sz w:val="20"/>
          <w:lang w:eastAsia="en-GB"/>
        </w:rPr>
        <w:t>3</w:t>
      </w:r>
      <w:r w:rsidR="00060B18" w:rsidRPr="00E965FA">
        <w:rPr>
          <w:sz w:val="20"/>
          <w:lang w:eastAsia="en-GB"/>
        </w:rPr>
        <w:t>.6</w:t>
      </w:r>
      <w:r w:rsidR="00060B18" w:rsidRPr="00E965FA">
        <w:rPr>
          <w:sz w:val="20"/>
          <w:lang w:eastAsia="en-GB"/>
        </w:rPr>
        <w:tab/>
        <w:t xml:space="preserve">The Client’s Desktop Users and Administrators may report Faults to </w:t>
      </w:r>
      <w:r w:rsidR="00481458">
        <w:rPr>
          <w:sz w:val="20"/>
          <w:lang w:eastAsia="en-GB"/>
        </w:rPr>
        <w:t>Solutions in I.T.</w:t>
      </w:r>
      <w:r w:rsidR="00C2150E" w:rsidRPr="00E965FA">
        <w:rPr>
          <w:sz w:val="20"/>
          <w:lang w:eastAsia="en-GB"/>
        </w:rPr>
        <w:t xml:space="preserve"> </w:t>
      </w:r>
      <w:r w:rsidR="00060B18" w:rsidRPr="00E965FA">
        <w:rPr>
          <w:sz w:val="20"/>
          <w:lang w:eastAsia="en-GB"/>
        </w:rPr>
        <w:t xml:space="preserve">by telephone or e-mail </w:t>
      </w:r>
      <w:r w:rsidR="00A638AC">
        <w:rPr>
          <w:sz w:val="20"/>
          <w:lang w:eastAsia="en-GB"/>
        </w:rPr>
        <w:t>(</w:t>
      </w:r>
      <w:hyperlink r:id="rId10" w:history="1">
        <w:r w:rsidR="00A638AC" w:rsidRPr="005E5EA3">
          <w:rPr>
            <w:rStyle w:val="Hyperlink"/>
            <w:sz w:val="20"/>
            <w:lang w:eastAsia="en-GB"/>
          </w:rPr>
          <w:t>support@solutionsinit.com</w:t>
        </w:r>
      </w:hyperlink>
      <w:r w:rsidR="00A638AC">
        <w:rPr>
          <w:sz w:val="20"/>
          <w:lang w:eastAsia="en-GB"/>
        </w:rPr>
        <w:t xml:space="preserve">) </w:t>
      </w:r>
      <w:r w:rsidR="00060B18" w:rsidRPr="00E965FA">
        <w:rPr>
          <w:sz w:val="20"/>
          <w:lang w:eastAsia="en-GB"/>
        </w:rPr>
        <w:t xml:space="preserve">to the Support Desk.  </w:t>
      </w:r>
      <w:r w:rsidR="00481458">
        <w:rPr>
          <w:sz w:val="20"/>
          <w:lang w:eastAsia="en-GB"/>
        </w:rPr>
        <w:t>Solutions in I.T.</w:t>
      </w:r>
      <w:r w:rsidR="00C2150E" w:rsidRPr="00E965FA">
        <w:rPr>
          <w:sz w:val="20"/>
          <w:lang w:eastAsia="en-GB"/>
        </w:rPr>
        <w:t xml:space="preserve"> </w:t>
      </w:r>
      <w:r w:rsidR="00060B18" w:rsidRPr="00E965FA">
        <w:rPr>
          <w:sz w:val="20"/>
          <w:lang w:eastAsia="en-GB"/>
        </w:rPr>
        <w:t xml:space="preserve">will log the Fault and assign a Priority in accordance with the schema in the Definitions Table in Section 1.  The Priority will be communicated to the person who notified the Defect within the period applicable to the assigned Priority Level.  </w:t>
      </w:r>
      <w:r w:rsidR="00481458">
        <w:rPr>
          <w:sz w:val="20"/>
          <w:lang w:eastAsia="en-GB"/>
        </w:rPr>
        <w:t>Solutions in I.T.</w:t>
      </w:r>
      <w:r w:rsidR="009346B6" w:rsidRPr="00E965FA">
        <w:rPr>
          <w:sz w:val="20"/>
          <w:lang w:eastAsia="en-GB"/>
        </w:rPr>
        <w:t xml:space="preserve"> </w:t>
      </w:r>
      <w:r w:rsidR="00060B18" w:rsidRPr="00E965FA">
        <w:rPr>
          <w:sz w:val="20"/>
          <w:lang w:eastAsia="en-GB"/>
        </w:rPr>
        <w:t>will use all reasonable efforts to meet the target resolution times in the Service Levels but the Client acknowledges that remote diagnostics may not always provide sufficient information to allow complete diagnosis for every fault.</w:t>
      </w:r>
    </w:p>
    <w:p w:rsidR="00060B18" w:rsidRPr="00E965FA" w:rsidRDefault="00035872" w:rsidP="00A36D33">
      <w:pPr>
        <w:spacing w:after="0" w:line="240" w:lineRule="auto"/>
        <w:ind w:left="578" w:hanging="578"/>
        <w:jc w:val="both"/>
        <w:rPr>
          <w:sz w:val="20"/>
          <w:lang w:eastAsia="en-GB"/>
        </w:rPr>
      </w:pPr>
      <w:r>
        <w:rPr>
          <w:sz w:val="20"/>
          <w:lang w:eastAsia="en-GB"/>
        </w:rPr>
        <w:t>3</w:t>
      </w:r>
      <w:r w:rsidR="00060B18" w:rsidRPr="00E965FA">
        <w:rPr>
          <w:sz w:val="20"/>
          <w:lang w:eastAsia="en-GB"/>
        </w:rPr>
        <w:t>.7</w:t>
      </w:r>
      <w:r w:rsidR="00060B18" w:rsidRPr="00E965FA">
        <w:rPr>
          <w:sz w:val="20"/>
          <w:lang w:eastAsia="en-GB"/>
        </w:rPr>
        <w:tab/>
        <w:t xml:space="preserve">If </w:t>
      </w:r>
      <w:r w:rsidR="00481458">
        <w:rPr>
          <w:sz w:val="20"/>
          <w:lang w:eastAsia="en-GB"/>
        </w:rPr>
        <w:t>Solutions in I.T.</w:t>
      </w:r>
      <w:r w:rsidR="00C2150E" w:rsidRPr="00E965FA">
        <w:rPr>
          <w:sz w:val="20"/>
          <w:lang w:eastAsia="en-GB"/>
        </w:rPr>
        <w:t xml:space="preserve"> </w:t>
      </w:r>
      <w:r w:rsidR="00060B18" w:rsidRPr="00E965FA">
        <w:rPr>
          <w:sz w:val="20"/>
          <w:lang w:eastAsia="en-GB"/>
        </w:rPr>
        <w:t xml:space="preserve">is unable to diagnose the Fault remotely then </w:t>
      </w:r>
      <w:r w:rsidR="00481458">
        <w:rPr>
          <w:sz w:val="20"/>
          <w:lang w:eastAsia="en-GB"/>
        </w:rPr>
        <w:t>Solutions in I.T.</w:t>
      </w:r>
      <w:r w:rsidR="009346B6" w:rsidRPr="00E965FA">
        <w:rPr>
          <w:sz w:val="20"/>
          <w:lang w:eastAsia="en-GB"/>
        </w:rPr>
        <w:t xml:space="preserve"> </w:t>
      </w:r>
      <w:r w:rsidR="00060B18" w:rsidRPr="00E965FA">
        <w:rPr>
          <w:sz w:val="20"/>
          <w:lang w:eastAsia="en-GB"/>
        </w:rPr>
        <w:t xml:space="preserve">will notify an Administrator of the nature of the fault and advise upon any steps or tests that the Client should carry out to assist </w:t>
      </w:r>
      <w:r w:rsidR="00481458">
        <w:rPr>
          <w:sz w:val="20"/>
          <w:lang w:eastAsia="en-GB"/>
        </w:rPr>
        <w:t>Solutions in I.T.</w:t>
      </w:r>
      <w:r w:rsidR="00C2150E" w:rsidRPr="00E965FA">
        <w:rPr>
          <w:sz w:val="20"/>
          <w:lang w:eastAsia="en-GB"/>
        </w:rPr>
        <w:t xml:space="preserve"> </w:t>
      </w:r>
      <w:r w:rsidR="00060B18" w:rsidRPr="00E965FA">
        <w:rPr>
          <w:sz w:val="20"/>
          <w:lang w:eastAsia="en-GB"/>
        </w:rPr>
        <w:t xml:space="preserve">to diagnose and fix the Fault.  If these steps or tests are unsuccessful then </w:t>
      </w:r>
      <w:r w:rsidR="00481458">
        <w:rPr>
          <w:sz w:val="20"/>
          <w:lang w:eastAsia="en-GB"/>
        </w:rPr>
        <w:t>Solutions in I.T.</w:t>
      </w:r>
      <w:r w:rsidR="00C2150E" w:rsidRPr="00E965FA">
        <w:rPr>
          <w:sz w:val="20"/>
          <w:lang w:eastAsia="en-GB"/>
        </w:rPr>
        <w:t xml:space="preserve"> </w:t>
      </w:r>
      <w:r w:rsidR="00060B18" w:rsidRPr="00E965FA">
        <w:rPr>
          <w:sz w:val="20"/>
          <w:lang w:eastAsia="en-GB"/>
        </w:rPr>
        <w:t xml:space="preserve">personnel will attend at the Client’s Site but on-site support is not included in the Charges and therefore additional Charges will be due at </w:t>
      </w:r>
      <w:r w:rsidR="00481458">
        <w:rPr>
          <w:sz w:val="20"/>
          <w:lang w:eastAsia="en-GB"/>
        </w:rPr>
        <w:t>Solutions in I.T.</w:t>
      </w:r>
      <w:r w:rsidR="009273BF" w:rsidRPr="00E965FA">
        <w:rPr>
          <w:sz w:val="20"/>
          <w:lang w:eastAsia="en-GB"/>
        </w:rPr>
        <w:t>’s</w:t>
      </w:r>
      <w:r w:rsidR="00060B18" w:rsidRPr="00E965FA">
        <w:rPr>
          <w:sz w:val="20"/>
          <w:lang w:eastAsia="en-GB"/>
        </w:rPr>
        <w:t xml:space="preserve"> then current standard rates.</w:t>
      </w:r>
    </w:p>
    <w:p w:rsidR="00060B18" w:rsidRPr="00E965FA" w:rsidRDefault="00035872" w:rsidP="00A36D33">
      <w:pPr>
        <w:spacing w:after="0" w:line="240" w:lineRule="auto"/>
        <w:ind w:left="578" w:hanging="578"/>
        <w:jc w:val="both"/>
        <w:rPr>
          <w:sz w:val="20"/>
        </w:rPr>
      </w:pPr>
      <w:bookmarkStart w:id="3" w:name="_Ref208996449"/>
      <w:r>
        <w:rPr>
          <w:sz w:val="20"/>
        </w:rPr>
        <w:t>3</w:t>
      </w:r>
      <w:r w:rsidR="00060B18" w:rsidRPr="00E965FA">
        <w:rPr>
          <w:sz w:val="20"/>
        </w:rPr>
        <w:t xml:space="preserve">.8 </w:t>
      </w:r>
      <w:r w:rsidR="00060B18" w:rsidRPr="00E965FA">
        <w:rPr>
          <w:sz w:val="20"/>
        </w:rPr>
        <w:tab/>
        <w:t xml:space="preserve">The Client grants </w:t>
      </w:r>
      <w:bookmarkEnd w:id="3"/>
      <w:r w:rsidR="00481458">
        <w:rPr>
          <w:sz w:val="20"/>
        </w:rPr>
        <w:t>Solutions in I.T.</w:t>
      </w:r>
      <w:r w:rsidR="00C2150E" w:rsidRPr="00E965FA">
        <w:rPr>
          <w:sz w:val="20"/>
        </w:rPr>
        <w:t xml:space="preserve"> </w:t>
      </w:r>
      <w:r w:rsidR="00060B18" w:rsidRPr="00E965FA">
        <w:rPr>
          <w:sz w:val="20"/>
        </w:rPr>
        <w:t>permission to access the Systems remotely and the Client’s premises for on-site support in order to carry out the Support Services.</w:t>
      </w:r>
    </w:p>
    <w:p w:rsidR="00060B18" w:rsidRPr="00E965FA" w:rsidRDefault="00035872" w:rsidP="00A36D33">
      <w:pPr>
        <w:spacing w:after="0" w:line="240" w:lineRule="auto"/>
        <w:ind w:left="578" w:hanging="578"/>
        <w:jc w:val="both"/>
        <w:rPr>
          <w:sz w:val="20"/>
          <w:lang w:eastAsia="en-GB"/>
        </w:rPr>
      </w:pPr>
      <w:r>
        <w:rPr>
          <w:sz w:val="20"/>
          <w:lang w:eastAsia="en-GB"/>
        </w:rPr>
        <w:t>3</w:t>
      </w:r>
      <w:r w:rsidR="00060B18" w:rsidRPr="00E965FA">
        <w:rPr>
          <w:sz w:val="20"/>
          <w:lang w:eastAsia="en-GB"/>
        </w:rPr>
        <w:t>.9</w:t>
      </w:r>
      <w:r w:rsidR="00060B18" w:rsidRPr="00E965FA">
        <w:rPr>
          <w:sz w:val="20"/>
          <w:lang w:eastAsia="en-GB"/>
        </w:rPr>
        <w:tab/>
        <w:t xml:space="preserve">The Client will ensure that Desktop Users and Administrators will keep any passwords issued by </w:t>
      </w:r>
      <w:r w:rsidR="00481458">
        <w:rPr>
          <w:sz w:val="20"/>
          <w:lang w:eastAsia="en-GB"/>
        </w:rPr>
        <w:t>Solutions in I.T.</w:t>
      </w:r>
      <w:r w:rsidR="009346B6" w:rsidRPr="00E965FA">
        <w:rPr>
          <w:sz w:val="20"/>
          <w:lang w:eastAsia="en-GB"/>
        </w:rPr>
        <w:t xml:space="preserve"> </w:t>
      </w:r>
      <w:r w:rsidR="00060B18" w:rsidRPr="00E965FA">
        <w:rPr>
          <w:sz w:val="20"/>
          <w:lang w:eastAsia="en-GB"/>
        </w:rPr>
        <w:t>secure and in particular will not allow Desktop Users to transfer or permit each other to use such passwords.</w:t>
      </w:r>
    </w:p>
    <w:p w:rsidR="00060B18" w:rsidRPr="007C7BF3" w:rsidRDefault="00060B18" w:rsidP="00A36D33">
      <w:pPr>
        <w:spacing w:after="0" w:line="240" w:lineRule="auto"/>
        <w:ind w:left="578" w:hanging="578"/>
        <w:jc w:val="both"/>
        <w:rPr>
          <w:color w:val="8DB3E2" w:themeColor="text2" w:themeTint="66"/>
          <w:lang w:eastAsia="en-GB"/>
        </w:rPr>
      </w:pPr>
    </w:p>
    <w:p w:rsidR="00060B18" w:rsidRPr="00DC7D57" w:rsidRDefault="00060B18" w:rsidP="00A36D33">
      <w:pPr>
        <w:pStyle w:val="ListParagraph"/>
        <w:numPr>
          <w:ilvl w:val="0"/>
          <w:numId w:val="8"/>
        </w:numPr>
        <w:spacing w:after="0" w:line="240" w:lineRule="auto"/>
        <w:jc w:val="both"/>
        <w:rPr>
          <w:b/>
          <w:color w:val="002060"/>
          <w:sz w:val="24"/>
          <w:szCs w:val="26"/>
          <w:lang w:eastAsia="en-GB"/>
        </w:rPr>
      </w:pPr>
      <w:r w:rsidRPr="00DC7D57">
        <w:rPr>
          <w:b/>
          <w:color w:val="002060"/>
          <w:sz w:val="24"/>
          <w:szCs w:val="26"/>
          <w:lang w:eastAsia="en-GB"/>
        </w:rPr>
        <w:t>Fees and Payment</w:t>
      </w:r>
    </w:p>
    <w:p w:rsidR="00060B18" w:rsidRPr="00E965FA" w:rsidRDefault="00E44B9B" w:rsidP="00A36D33">
      <w:pPr>
        <w:tabs>
          <w:tab w:val="left" w:pos="567"/>
          <w:tab w:val="left" w:pos="709"/>
        </w:tabs>
        <w:spacing w:after="0" w:line="240" w:lineRule="auto"/>
        <w:ind w:left="578" w:hanging="578"/>
        <w:jc w:val="both"/>
        <w:rPr>
          <w:sz w:val="20"/>
          <w:lang w:eastAsia="en-GB"/>
        </w:rPr>
      </w:pPr>
      <w:r>
        <w:rPr>
          <w:sz w:val="20"/>
          <w:szCs w:val="20"/>
          <w:lang w:eastAsia="en-GB"/>
        </w:rPr>
        <w:t>4</w:t>
      </w:r>
      <w:r w:rsidR="00060B18" w:rsidRPr="006A7136">
        <w:rPr>
          <w:sz w:val="20"/>
          <w:szCs w:val="20"/>
          <w:lang w:eastAsia="en-GB"/>
        </w:rPr>
        <w:t>.1</w:t>
      </w:r>
      <w:r w:rsidR="00060B18" w:rsidRPr="00E965FA">
        <w:rPr>
          <w:sz w:val="20"/>
          <w:lang w:eastAsia="en-GB"/>
        </w:rPr>
        <w:tab/>
      </w:r>
      <w:r w:rsidR="00481458">
        <w:rPr>
          <w:sz w:val="20"/>
          <w:lang w:eastAsia="en-GB"/>
        </w:rPr>
        <w:t>Solutions in I.T.</w:t>
      </w:r>
      <w:r w:rsidR="009346B6" w:rsidRPr="00E965FA">
        <w:rPr>
          <w:sz w:val="20"/>
          <w:lang w:eastAsia="en-GB"/>
        </w:rPr>
        <w:t xml:space="preserve"> </w:t>
      </w:r>
      <w:r w:rsidR="00060B18" w:rsidRPr="00E965FA">
        <w:rPr>
          <w:sz w:val="20"/>
          <w:lang w:eastAsia="en-GB"/>
        </w:rPr>
        <w:t xml:space="preserve">will issue a valid VAT invoice for the Charges in Table 1 on the Start Date and [less any deduction for Service Credits] in advance of each following </w:t>
      </w:r>
      <w:r w:rsidR="009273BF" w:rsidRPr="00E965FA">
        <w:rPr>
          <w:sz w:val="20"/>
          <w:lang w:eastAsia="en-GB"/>
        </w:rPr>
        <w:t>1-month</w:t>
      </w:r>
      <w:r w:rsidR="00060B18" w:rsidRPr="00E965FA">
        <w:rPr>
          <w:sz w:val="20"/>
          <w:lang w:eastAsia="en-GB"/>
        </w:rPr>
        <w:t xml:space="preserve"> peri</w:t>
      </w:r>
      <w:r>
        <w:rPr>
          <w:sz w:val="20"/>
          <w:lang w:eastAsia="en-GB"/>
        </w:rPr>
        <w:t>od.  Any Charges under section 3</w:t>
      </w:r>
      <w:r w:rsidR="00060B18" w:rsidRPr="00E965FA">
        <w:rPr>
          <w:sz w:val="20"/>
          <w:lang w:eastAsia="en-GB"/>
        </w:rPr>
        <w:t>.7 will be invoiced when the work to which they relate is complete.</w:t>
      </w:r>
    </w:p>
    <w:p w:rsidR="009273BF" w:rsidRPr="00E965FA" w:rsidRDefault="00E44B9B" w:rsidP="00A36D33">
      <w:pPr>
        <w:tabs>
          <w:tab w:val="left" w:pos="567"/>
          <w:tab w:val="left" w:pos="709"/>
        </w:tabs>
        <w:spacing w:after="0" w:line="240" w:lineRule="auto"/>
        <w:ind w:left="578" w:hanging="578"/>
        <w:jc w:val="both"/>
        <w:rPr>
          <w:sz w:val="20"/>
          <w:lang w:eastAsia="en-GB"/>
        </w:rPr>
      </w:pPr>
      <w:r>
        <w:rPr>
          <w:sz w:val="20"/>
          <w:lang w:eastAsia="en-GB"/>
        </w:rPr>
        <w:t>4</w:t>
      </w:r>
      <w:r w:rsidR="009273BF" w:rsidRPr="00E965FA">
        <w:rPr>
          <w:sz w:val="20"/>
          <w:lang w:eastAsia="en-GB"/>
        </w:rPr>
        <w:t>.2</w:t>
      </w:r>
      <w:r w:rsidR="009273BF" w:rsidRPr="00E965FA">
        <w:rPr>
          <w:sz w:val="20"/>
          <w:lang w:eastAsia="en-GB"/>
        </w:rPr>
        <w:tab/>
      </w:r>
      <w:r w:rsidR="00EB07F0">
        <w:rPr>
          <w:sz w:val="20"/>
          <w:lang w:eastAsia="en-GB"/>
        </w:rPr>
        <w:t xml:space="preserve">The Client will pay </w:t>
      </w:r>
      <w:r w:rsidR="00481458">
        <w:rPr>
          <w:sz w:val="20"/>
          <w:lang w:eastAsia="en-GB"/>
        </w:rPr>
        <w:t>Solutions in I.T.</w:t>
      </w:r>
      <w:r w:rsidR="009273BF" w:rsidRPr="00E965FA">
        <w:rPr>
          <w:sz w:val="20"/>
          <w:lang w:eastAsia="en-GB"/>
        </w:rPr>
        <w:t xml:space="preserve">’s invoice within </w:t>
      </w:r>
      <w:r w:rsidR="00054B84">
        <w:rPr>
          <w:sz w:val="20"/>
          <w:lang w:eastAsia="en-GB"/>
        </w:rPr>
        <w:t>30</w:t>
      </w:r>
      <w:r w:rsidR="009273BF" w:rsidRPr="00E965FA">
        <w:rPr>
          <w:sz w:val="20"/>
          <w:lang w:eastAsia="en-GB"/>
        </w:rPr>
        <w:t xml:space="preserve"> days of the invoice date.  </w:t>
      </w:r>
      <w:r w:rsidR="00481458">
        <w:rPr>
          <w:sz w:val="20"/>
          <w:lang w:eastAsia="en-GB"/>
        </w:rPr>
        <w:t>Solutions in I.T.</w:t>
      </w:r>
      <w:r w:rsidR="00C2150E" w:rsidRPr="00E965FA">
        <w:rPr>
          <w:sz w:val="20"/>
          <w:lang w:eastAsia="en-GB"/>
        </w:rPr>
        <w:t xml:space="preserve"> </w:t>
      </w:r>
      <w:r w:rsidR="009273BF" w:rsidRPr="00E965FA">
        <w:rPr>
          <w:sz w:val="20"/>
          <w:lang w:eastAsia="en-GB"/>
        </w:rPr>
        <w:t>may charge interest and administration costs on late payments at the rate prescribed from time to time under the Late Payment of Commercial Debts (Interest) Act 1998.</w:t>
      </w:r>
    </w:p>
    <w:p w:rsidR="009273BF" w:rsidRPr="00E965FA" w:rsidRDefault="00E44B9B" w:rsidP="00A36D33">
      <w:pPr>
        <w:tabs>
          <w:tab w:val="left" w:pos="567"/>
          <w:tab w:val="left" w:pos="709"/>
        </w:tabs>
        <w:spacing w:after="0" w:line="240" w:lineRule="auto"/>
        <w:ind w:left="578" w:hanging="578"/>
        <w:jc w:val="both"/>
        <w:rPr>
          <w:sz w:val="20"/>
          <w:lang w:eastAsia="en-GB"/>
        </w:rPr>
      </w:pPr>
      <w:r>
        <w:rPr>
          <w:sz w:val="20"/>
          <w:lang w:eastAsia="en-GB"/>
        </w:rPr>
        <w:t>4</w:t>
      </w:r>
      <w:r w:rsidR="009273BF" w:rsidRPr="00E965FA">
        <w:rPr>
          <w:sz w:val="20"/>
          <w:lang w:eastAsia="en-GB"/>
        </w:rPr>
        <w:t>.3</w:t>
      </w:r>
      <w:r w:rsidR="009273BF" w:rsidRPr="00E965FA">
        <w:rPr>
          <w:sz w:val="20"/>
          <w:lang w:eastAsia="en-GB"/>
        </w:rPr>
        <w:tab/>
      </w:r>
      <w:r w:rsidR="00481458">
        <w:rPr>
          <w:sz w:val="20"/>
          <w:lang w:eastAsia="en-GB"/>
        </w:rPr>
        <w:t>Solutions in I.T.</w:t>
      </w:r>
      <w:r w:rsidR="009273BF" w:rsidRPr="00E965FA">
        <w:rPr>
          <w:sz w:val="20"/>
          <w:lang w:eastAsia="en-GB"/>
        </w:rPr>
        <w:t xml:space="preserve"> may suspend the Support Services during any period during which </w:t>
      </w:r>
      <w:r w:rsidR="00481458">
        <w:rPr>
          <w:sz w:val="20"/>
          <w:lang w:eastAsia="en-GB"/>
        </w:rPr>
        <w:t>Solutions in I.T.</w:t>
      </w:r>
      <w:r w:rsidR="009273BF" w:rsidRPr="00E965FA">
        <w:rPr>
          <w:sz w:val="20"/>
          <w:lang w:eastAsia="en-GB"/>
        </w:rPr>
        <w:t>’s invoice remains unpaid after the due date.</w:t>
      </w:r>
    </w:p>
    <w:p w:rsidR="007D4373" w:rsidRPr="003B4629" w:rsidRDefault="007D4373" w:rsidP="00A36D33">
      <w:pPr>
        <w:tabs>
          <w:tab w:val="left" w:pos="567"/>
          <w:tab w:val="left" w:pos="709"/>
        </w:tabs>
        <w:spacing w:after="0" w:line="240" w:lineRule="auto"/>
        <w:jc w:val="both"/>
        <w:rPr>
          <w:color w:val="548DD4" w:themeColor="text2" w:themeTint="99"/>
          <w:lang w:eastAsia="en-GB"/>
        </w:rPr>
      </w:pPr>
    </w:p>
    <w:p w:rsidR="007D4373" w:rsidRPr="00DC7D57" w:rsidRDefault="007D4373" w:rsidP="00A36D33">
      <w:pPr>
        <w:pStyle w:val="ListParagraph"/>
        <w:numPr>
          <w:ilvl w:val="0"/>
          <w:numId w:val="8"/>
        </w:numPr>
        <w:tabs>
          <w:tab w:val="left" w:pos="567"/>
          <w:tab w:val="left" w:pos="709"/>
        </w:tabs>
        <w:spacing w:after="0" w:line="240" w:lineRule="auto"/>
        <w:jc w:val="both"/>
        <w:rPr>
          <w:b/>
          <w:color w:val="002060"/>
          <w:sz w:val="24"/>
          <w:szCs w:val="26"/>
          <w:lang w:eastAsia="en-GB"/>
        </w:rPr>
      </w:pPr>
      <w:r w:rsidRPr="00DC7D57">
        <w:rPr>
          <w:b/>
          <w:color w:val="002060"/>
          <w:sz w:val="24"/>
          <w:szCs w:val="26"/>
          <w:lang w:eastAsia="en-GB"/>
        </w:rPr>
        <w:t>Breach of Agreement</w:t>
      </w:r>
    </w:p>
    <w:p w:rsidR="009273BF" w:rsidRPr="00E965FA" w:rsidRDefault="00E44B9B" w:rsidP="00A36D33">
      <w:pPr>
        <w:tabs>
          <w:tab w:val="left" w:pos="567"/>
          <w:tab w:val="left" w:pos="709"/>
        </w:tabs>
        <w:spacing w:after="0" w:line="240" w:lineRule="auto"/>
        <w:jc w:val="both"/>
        <w:rPr>
          <w:sz w:val="20"/>
          <w:lang w:eastAsia="en-GB"/>
        </w:rPr>
      </w:pPr>
      <w:r>
        <w:rPr>
          <w:sz w:val="20"/>
          <w:lang w:eastAsia="en-GB"/>
        </w:rPr>
        <w:t>5</w:t>
      </w:r>
      <w:r w:rsidR="007D4373" w:rsidRPr="00E965FA">
        <w:rPr>
          <w:sz w:val="20"/>
          <w:lang w:eastAsia="en-GB"/>
        </w:rPr>
        <w:t>.1</w:t>
      </w:r>
      <w:r w:rsidR="007D4373" w:rsidRPr="00E965FA">
        <w:rPr>
          <w:sz w:val="20"/>
          <w:lang w:eastAsia="en-GB"/>
        </w:rPr>
        <w:tab/>
        <w:t>Either party (“A”) may terminate the Support Agreement by Notice to the other (“B”) in the following circumstances:</w:t>
      </w:r>
    </w:p>
    <w:p w:rsidR="007D4373" w:rsidRPr="00E965FA" w:rsidRDefault="00D155DD" w:rsidP="00A36D33">
      <w:pPr>
        <w:tabs>
          <w:tab w:val="left" w:pos="567"/>
          <w:tab w:val="left" w:pos="709"/>
        </w:tabs>
        <w:spacing w:after="0" w:line="240" w:lineRule="auto"/>
        <w:jc w:val="both"/>
        <w:rPr>
          <w:sz w:val="20"/>
          <w:lang w:eastAsia="en-GB"/>
        </w:rPr>
      </w:pPr>
      <w:r>
        <w:rPr>
          <w:lang w:eastAsia="en-GB"/>
        </w:rPr>
        <w:tab/>
      </w:r>
      <w:r w:rsidR="007D4373" w:rsidRPr="007D4373">
        <w:rPr>
          <w:lang w:eastAsia="en-GB"/>
        </w:rPr>
        <w:t>(a)</w:t>
      </w:r>
      <w:r w:rsidR="007D4373" w:rsidRPr="007D4373">
        <w:rPr>
          <w:lang w:eastAsia="en-GB"/>
        </w:rPr>
        <w:tab/>
      </w:r>
      <w:r w:rsidR="007D4373" w:rsidRPr="00E965FA">
        <w:rPr>
          <w:sz w:val="20"/>
          <w:lang w:eastAsia="en-GB"/>
        </w:rPr>
        <w:t xml:space="preserve">B commits a material or persistent breach of the Support Agreement which is not remedied (or, if it cannot </w:t>
      </w:r>
      <w:r w:rsidR="007D4373" w:rsidRPr="00E965FA">
        <w:rPr>
          <w:sz w:val="20"/>
          <w:lang w:eastAsia="en-GB"/>
        </w:rPr>
        <w:tab/>
      </w:r>
      <w:r>
        <w:rPr>
          <w:sz w:val="20"/>
          <w:lang w:eastAsia="en-GB"/>
        </w:rPr>
        <w:tab/>
      </w:r>
      <w:r>
        <w:rPr>
          <w:sz w:val="20"/>
          <w:lang w:eastAsia="en-GB"/>
        </w:rPr>
        <w:tab/>
      </w:r>
      <w:r>
        <w:rPr>
          <w:sz w:val="20"/>
          <w:lang w:eastAsia="en-GB"/>
        </w:rPr>
        <w:tab/>
      </w:r>
      <w:r w:rsidR="007D4373" w:rsidRPr="00E965FA">
        <w:rPr>
          <w:sz w:val="20"/>
          <w:lang w:eastAsia="en-GB"/>
        </w:rPr>
        <w:t>be remedied, compensated for) to A’s reasonable satisfaction within 30 days of Notice of the breach;</w:t>
      </w:r>
    </w:p>
    <w:p w:rsidR="007D4373" w:rsidRPr="00E965FA" w:rsidRDefault="00D155DD" w:rsidP="00A36D33">
      <w:pPr>
        <w:tabs>
          <w:tab w:val="left" w:pos="567"/>
          <w:tab w:val="left" w:pos="709"/>
        </w:tabs>
        <w:spacing w:after="0" w:line="240" w:lineRule="auto"/>
        <w:jc w:val="both"/>
        <w:rPr>
          <w:sz w:val="20"/>
          <w:lang w:eastAsia="en-GB"/>
        </w:rPr>
      </w:pPr>
      <w:r>
        <w:rPr>
          <w:sz w:val="20"/>
          <w:lang w:eastAsia="en-GB"/>
        </w:rPr>
        <w:tab/>
      </w:r>
      <w:r w:rsidR="007D4373" w:rsidRPr="00E965FA">
        <w:rPr>
          <w:sz w:val="20"/>
          <w:lang w:eastAsia="en-GB"/>
        </w:rPr>
        <w:t>(b)</w:t>
      </w:r>
      <w:r w:rsidR="007D4373" w:rsidRPr="00E965FA">
        <w:rPr>
          <w:sz w:val="20"/>
          <w:lang w:eastAsia="en-GB"/>
        </w:rPr>
        <w:tab/>
        <w:t xml:space="preserve">Either party becomes insolvent or unable to pay its debts (within the meaning of section 123 of the </w:t>
      </w:r>
      <w:r w:rsidR="007D4373" w:rsidRPr="00E965FA">
        <w:rPr>
          <w:sz w:val="20"/>
          <w:lang w:eastAsia="en-GB"/>
        </w:rPr>
        <w:tab/>
      </w:r>
      <w:r>
        <w:rPr>
          <w:sz w:val="20"/>
          <w:lang w:eastAsia="en-GB"/>
        </w:rPr>
        <w:tab/>
      </w:r>
      <w:r>
        <w:rPr>
          <w:sz w:val="20"/>
          <w:lang w:eastAsia="en-GB"/>
        </w:rPr>
        <w:tab/>
      </w:r>
      <w:r>
        <w:rPr>
          <w:sz w:val="20"/>
          <w:lang w:eastAsia="en-GB"/>
        </w:rPr>
        <w:tab/>
      </w:r>
      <w:r>
        <w:rPr>
          <w:sz w:val="20"/>
          <w:lang w:eastAsia="en-GB"/>
        </w:rPr>
        <w:tab/>
      </w:r>
      <w:r w:rsidR="007D4373" w:rsidRPr="00E965FA">
        <w:rPr>
          <w:sz w:val="20"/>
          <w:lang w:eastAsia="en-GB"/>
        </w:rPr>
        <w:t xml:space="preserve">Insolvency Act 1986) enters into liquidation, whether voluntary or compulsory (other than for reasons of </w:t>
      </w:r>
      <w:r w:rsidR="007D4373" w:rsidRPr="00E965FA">
        <w:rPr>
          <w:sz w:val="20"/>
          <w:lang w:eastAsia="en-GB"/>
        </w:rPr>
        <w:tab/>
      </w:r>
      <w:r>
        <w:rPr>
          <w:sz w:val="20"/>
          <w:lang w:eastAsia="en-GB"/>
        </w:rPr>
        <w:tab/>
      </w:r>
      <w:r>
        <w:rPr>
          <w:sz w:val="20"/>
          <w:lang w:eastAsia="en-GB"/>
        </w:rPr>
        <w:tab/>
      </w:r>
      <w:r>
        <w:rPr>
          <w:sz w:val="20"/>
          <w:lang w:eastAsia="en-GB"/>
        </w:rPr>
        <w:tab/>
      </w:r>
      <w:r>
        <w:rPr>
          <w:sz w:val="20"/>
          <w:lang w:eastAsia="en-GB"/>
        </w:rPr>
        <w:tab/>
      </w:r>
      <w:r w:rsidR="007D4373" w:rsidRPr="00E965FA">
        <w:rPr>
          <w:sz w:val="20"/>
          <w:lang w:eastAsia="en-GB"/>
        </w:rPr>
        <w:t xml:space="preserve">bona fide amalgamation or reconstruction) passes a resolution for its winding-up, has a receiver or </w:t>
      </w:r>
      <w:r w:rsidR="007D4373" w:rsidRPr="00E965FA">
        <w:rPr>
          <w:sz w:val="20"/>
          <w:lang w:eastAsia="en-GB"/>
        </w:rPr>
        <w:tab/>
      </w:r>
      <w:r>
        <w:rPr>
          <w:sz w:val="20"/>
          <w:lang w:eastAsia="en-GB"/>
        </w:rPr>
        <w:tab/>
      </w:r>
      <w:r>
        <w:rPr>
          <w:sz w:val="20"/>
          <w:lang w:eastAsia="en-GB"/>
        </w:rPr>
        <w:tab/>
      </w:r>
      <w:r>
        <w:rPr>
          <w:sz w:val="20"/>
          <w:lang w:eastAsia="en-GB"/>
        </w:rPr>
        <w:tab/>
      </w:r>
      <w:r>
        <w:rPr>
          <w:sz w:val="20"/>
          <w:lang w:eastAsia="en-GB"/>
        </w:rPr>
        <w:tab/>
      </w:r>
      <w:r w:rsidR="007D4373" w:rsidRPr="00E965FA">
        <w:rPr>
          <w:sz w:val="20"/>
          <w:lang w:eastAsia="en-GB"/>
        </w:rPr>
        <w:t xml:space="preserve">administrator manager, trustee, liquidator or similar officer appointed over the whole or any part of its </w:t>
      </w:r>
      <w:r w:rsidR="007D4373" w:rsidRPr="00E965FA">
        <w:rPr>
          <w:sz w:val="20"/>
          <w:lang w:eastAsia="en-GB"/>
        </w:rPr>
        <w:tab/>
      </w:r>
      <w:r>
        <w:rPr>
          <w:sz w:val="20"/>
          <w:lang w:eastAsia="en-GB"/>
        </w:rPr>
        <w:tab/>
      </w:r>
      <w:r>
        <w:rPr>
          <w:sz w:val="20"/>
          <w:lang w:eastAsia="en-GB"/>
        </w:rPr>
        <w:tab/>
      </w:r>
      <w:r>
        <w:rPr>
          <w:sz w:val="20"/>
          <w:lang w:eastAsia="en-GB"/>
        </w:rPr>
        <w:tab/>
      </w:r>
      <w:r>
        <w:rPr>
          <w:sz w:val="20"/>
          <w:lang w:eastAsia="en-GB"/>
        </w:rPr>
        <w:tab/>
      </w:r>
      <w:r w:rsidR="007D4373" w:rsidRPr="00E965FA">
        <w:rPr>
          <w:sz w:val="20"/>
          <w:lang w:eastAsia="en-GB"/>
        </w:rPr>
        <w:t xml:space="preserve">assets, makes any composition or </w:t>
      </w:r>
      <w:r>
        <w:rPr>
          <w:sz w:val="20"/>
          <w:lang w:eastAsia="en-GB"/>
        </w:rPr>
        <w:tab/>
      </w:r>
      <w:r w:rsidR="007D4373" w:rsidRPr="00E965FA">
        <w:rPr>
          <w:sz w:val="20"/>
          <w:lang w:eastAsia="en-GB"/>
        </w:rPr>
        <w:t xml:space="preserve">arrangement with its creditors or takes or suffers any similar action in </w:t>
      </w:r>
      <w:r w:rsidR="007D4373" w:rsidRPr="00E965FA">
        <w:rPr>
          <w:sz w:val="20"/>
          <w:lang w:eastAsia="en-GB"/>
        </w:rPr>
        <w:tab/>
      </w:r>
      <w:r>
        <w:rPr>
          <w:sz w:val="20"/>
          <w:lang w:eastAsia="en-GB"/>
        </w:rPr>
        <w:tab/>
      </w:r>
      <w:r>
        <w:rPr>
          <w:sz w:val="20"/>
          <w:lang w:eastAsia="en-GB"/>
        </w:rPr>
        <w:tab/>
      </w:r>
      <w:r>
        <w:rPr>
          <w:sz w:val="20"/>
          <w:lang w:eastAsia="en-GB"/>
        </w:rPr>
        <w:tab/>
      </w:r>
      <w:r>
        <w:rPr>
          <w:sz w:val="20"/>
          <w:lang w:eastAsia="en-GB"/>
        </w:rPr>
        <w:tab/>
      </w:r>
      <w:r w:rsidR="007D4373" w:rsidRPr="00E965FA">
        <w:rPr>
          <w:sz w:val="20"/>
          <w:lang w:eastAsia="en-GB"/>
        </w:rPr>
        <w:t>consequence of its debt.</w:t>
      </w:r>
    </w:p>
    <w:p w:rsidR="007D4373" w:rsidRDefault="00D155DD" w:rsidP="00A36D33">
      <w:pPr>
        <w:tabs>
          <w:tab w:val="left" w:pos="567"/>
          <w:tab w:val="left" w:pos="709"/>
        </w:tabs>
        <w:spacing w:after="0" w:line="240" w:lineRule="auto"/>
        <w:jc w:val="both"/>
        <w:rPr>
          <w:sz w:val="20"/>
          <w:lang w:eastAsia="en-GB"/>
        </w:rPr>
      </w:pPr>
      <w:r>
        <w:rPr>
          <w:sz w:val="20"/>
          <w:lang w:eastAsia="en-GB"/>
        </w:rPr>
        <w:tab/>
      </w:r>
      <w:r w:rsidR="007D4373" w:rsidRPr="00E965FA">
        <w:rPr>
          <w:sz w:val="20"/>
          <w:lang w:eastAsia="en-GB"/>
        </w:rPr>
        <w:t>(c)</w:t>
      </w:r>
      <w:r w:rsidR="007D4373" w:rsidRPr="00E965FA">
        <w:rPr>
          <w:sz w:val="20"/>
          <w:lang w:eastAsia="en-GB"/>
        </w:rPr>
        <w:tab/>
        <w:t>An Unexpected Event persists for more than 30 days.</w:t>
      </w:r>
    </w:p>
    <w:p w:rsidR="00D155DD" w:rsidRPr="00E965FA" w:rsidRDefault="00D155DD" w:rsidP="007D4373">
      <w:pPr>
        <w:tabs>
          <w:tab w:val="left" w:pos="567"/>
          <w:tab w:val="left" w:pos="709"/>
        </w:tabs>
        <w:spacing w:after="0" w:line="240" w:lineRule="auto"/>
        <w:rPr>
          <w:sz w:val="20"/>
          <w:lang w:eastAsia="en-GB"/>
        </w:rPr>
      </w:pPr>
    </w:p>
    <w:p w:rsidR="0086186B" w:rsidRPr="00E965FA" w:rsidRDefault="00E44B9B" w:rsidP="00A36D33">
      <w:pPr>
        <w:tabs>
          <w:tab w:val="left" w:pos="567"/>
          <w:tab w:val="left" w:pos="709"/>
        </w:tabs>
        <w:spacing w:after="0" w:line="240" w:lineRule="auto"/>
        <w:ind w:left="578" w:hanging="578"/>
        <w:jc w:val="both"/>
        <w:rPr>
          <w:sz w:val="20"/>
          <w:lang w:eastAsia="en-GB"/>
        </w:rPr>
      </w:pPr>
      <w:r>
        <w:rPr>
          <w:sz w:val="20"/>
          <w:lang w:eastAsia="en-GB"/>
        </w:rPr>
        <w:t>5</w:t>
      </w:r>
      <w:r w:rsidR="0086186B" w:rsidRPr="00E965FA">
        <w:rPr>
          <w:sz w:val="20"/>
          <w:lang w:eastAsia="en-GB"/>
        </w:rPr>
        <w:t>.2</w:t>
      </w:r>
      <w:r w:rsidR="0086186B" w:rsidRPr="00E965FA">
        <w:rPr>
          <w:sz w:val="20"/>
          <w:lang w:eastAsia="en-GB"/>
        </w:rPr>
        <w:tab/>
      </w:r>
      <w:r w:rsidR="00481458">
        <w:rPr>
          <w:sz w:val="20"/>
          <w:lang w:eastAsia="en-GB"/>
        </w:rPr>
        <w:t>Solutions in I.T.</w:t>
      </w:r>
      <w:r w:rsidR="00000C8D">
        <w:rPr>
          <w:sz w:val="20"/>
          <w:lang w:eastAsia="en-GB"/>
        </w:rPr>
        <w:t xml:space="preserve"> </w:t>
      </w:r>
      <w:r w:rsidR="0086186B" w:rsidRPr="00E965FA">
        <w:rPr>
          <w:sz w:val="20"/>
          <w:lang w:eastAsia="en-GB"/>
        </w:rPr>
        <w:t xml:space="preserve">will collect information on Service Levels and issue a summary to the Client setting out the statistics below.  If </w:t>
      </w:r>
      <w:r w:rsidR="00481458">
        <w:rPr>
          <w:sz w:val="20"/>
          <w:lang w:eastAsia="en-GB"/>
        </w:rPr>
        <w:t>Solutions in I.T.</w:t>
      </w:r>
      <w:r w:rsidR="00000C8D">
        <w:rPr>
          <w:sz w:val="20"/>
          <w:lang w:eastAsia="en-GB"/>
        </w:rPr>
        <w:t xml:space="preserve"> </w:t>
      </w:r>
      <w:r w:rsidR="0086186B" w:rsidRPr="00E965FA">
        <w:rPr>
          <w:sz w:val="20"/>
          <w:lang w:eastAsia="en-GB"/>
        </w:rPr>
        <w:t>fails to meet the Target #1 Service Levels in any rol</w:t>
      </w:r>
      <w:r w:rsidR="00000C8D">
        <w:rPr>
          <w:sz w:val="20"/>
          <w:lang w:eastAsia="en-GB"/>
        </w:rPr>
        <w:t xml:space="preserve">ling period of six </w:t>
      </w:r>
      <w:r w:rsidR="00A638AC">
        <w:rPr>
          <w:sz w:val="20"/>
          <w:lang w:eastAsia="en-GB"/>
        </w:rPr>
        <w:t>months,</w:t>
      </w:r>
      <w:r w:rsidR="00000C8D">
        <w:rPr>
          <w:sz w:val="20"/>
          <w:lang w:eastAsia="en-GB"/>
        </w:rPr>
        <w:t xml:space="preserve"> then </w:t>
      </w:r>
      <w:r w:rsidR="00481458">
        <w:rPr>
          <w:sz w:val="20"/>
          <w:lang w:eastAsia="en-GB"/>
        </w:rPr>
        <w:t>Solutions in I.T.</w:t>
      </w:r>
      <w:r w:rsidR="0086186B" w:rsidRPr="00E965FA">
        <w:rPr>
          <w:sz w:val="20"/>
          <w:lang w:eastAsia="en-GB"/>
        </w:rPr>
        <w:t xml:space="preserve"> will deduct Service Credits calculated in accordance with the Table below.</w:t>
      </w:r>
    </w:p>
    <w:p w:rsidR="0086186B" w:rsidRPr="00E965FA" w:rsidRDefault="00E44B9B" w:rsidP="00A36D33">
      <w:pPr>
        <w:tabs>
          <w:tab w:val="left" w:pos="567"/>
        </w:tabs>
        <w:spacing w:after="100" w:afterAutospacing="1" w:line="240" w:lineRule="auto"/>
        <w:ind w:left="578" w:hanging="578"/>
        <w:jc w:val="both"/>
        <w:rPr>
          <w:sz w:val="20"/>
          <w:szCs w:val="20"/>
          <w:lang w:eastAsia="en-GB"/>
        </w:rPr>
      </w:pPr>
      <w:r>
        <w:rPr>
          <w:sz w:val="20"/>
          <w:lang w:eastAsia="en-GB"/>
        </w:rPr>
        <w:lastRenderedPageBreak/>
        <w:t>5</w:t>
      </w:r>
      <w:r w:rsidR="0086186B" w:rsidRPr="00E965FA">
        <w:rPr>
          <w:sz w:val="20"/>
          <w:lang w:eastAsia="en-GB"/>
        </w:rPr>
        <w:t>.3</w:t>
      </w:r>
      <w:r w:rsidR="0086186B" w:rsidRPr="00E965FA">
        <w:rPr>
          <w:sz w:val="20"/>
          <w:lang w:eastAsia="en-GB"/>
        </w:rPr>
        <w:tab/>
        <w:t xml:space="preserve">If </w:t>
      </w:r>
      <w:r w:rsidR="00481458">
        <w:rPr>
          <w:sz w:val="20"/>
          <w:lang w:eastAsia="en-GB"/>
        </w:rPr>
        <w:t>Solutions in I.T.</w:t>
      </w:r>
      <w:r w:rsidR="00000C8D">
        <w:rPr>
          <w:sz w:val="20"/>
          <w:lang w:eastAsia="en-GB"/>
        </w:rPr>
        <w:t xml:space="preserve"> </w:t>
      </w:r>
      <w:r w:rsidR="0086186B" w:rsidRPr="00E965FA">
        <w:rPr>
          <w:sz w:val="20"/>
          <w:lang w:eastAsia="en-GB"/>
        </w:rPr>
        <w:t xml:space="preserve">fails to meet the Target #2 Service Levels then the Client may (but is not obliged to) terminate this Support </w:t>
      </w:r>
      <w:r w:rsidR="00A36D33">
        <w:rPr>
          <w:sz w:val="20"/>
          <w:lang w:eastAsia="en-GB"/>
        </w:rPr>
        <w:t>a</w:t>
      </w:r>
      <w:r w:rsidR="002F1C23">
        <w:rPr>
          <w:sz w:val="20"/>
          <w:szCs w:val="20"/>
          <w:lang w:eastAsia="en-GB"/>
        </w:rPr>
        <w:t xml:space="preserve">greement by giving Notice to </w:t>
      </w:r>
      <w:r w:rsidR="00481458">
        <w:rPr>
          <w:sz w:val="20"/>
          <w:szCs w:val="20"/>
          <w:lang w:eastAsia="en-GB"/>
        </w:rPr>
        <w:t>Solutions in I.T.</w:t>
      </w:r>
      <w:r w:rsidR="0086186B" w:rsidRPr="00E965FA">
        <w:rPr>
          <w:sz w:val="20"/>
          <w:szCs w:val="20"/>
          <w:lang w:eastAsia="en-GB"/>
        </w:rPr>
        <w:t>.</w:t>
      </w:r>
    </w:p>
    <w:tbl>
      <w:tblPr>
        <w:tblStyle w:val="TableGrid"/>
        <w:tblpPr w:leftFromText="180" w:rightFromText="180" w:vertAnchor="text" w:horzAnchor="margin" w:tblpXSpec="center" w:tblpY="143"/>
        <w:tblW w:w="9214" w:type="dxa"/>
        <w:tblLook w:val="04A0" w:firstRow="1" w:lastRow="0" w:firstColumn="1" w:lastColumn="0" w:noHBand="0" w:noVBand="1"/>
      </w:tblPr>
      <w:tblGrid>
        <w:gridCol w:w="1555"/>
        <w:gridCol w:w="1134"/>
        <w:gridCol w:w="4677"/>
        <w:gridCol w:w="1848"/>
      </w:tblGrid>
      <w:tr w:rsidR="00E965FA" w:rsidRPr="00E965FA" w:rsidTr="00E7785D">
        <w:tc>
          <w:tcPr>
            <w:tcW w:w="1555" w:type="dxa"/>
            <w:shd w:val="clear" w:color="auto" w:fill="002060"/>
          </w:tcPr>
          <w:p w:rsidR="00E965FA" w:rsidRPr="007C7BF3" w:rsidRDefault="00E965FA" w:rsidP="00A36D33">
            <w:pPr>
              <w:pStyle w:val="Heading2"/>
              <w:numPr>
                <w:ilvl w:val="0"/>
                <w:numId w:val="0"/>
              </w:numPr>
              <w:spacing w:before="100" w:beforeAutospacing="1" w:after="100" w:afterAutospacing="1" w:line="240" w:lineRule="auto"/>
              <w:jc w:val="both"/>
              <w:rPr>
                <w:rFonts w:cstheme="minorHAnsi"/>
                <w:color w:val="FFFFFF" w:themeColor="background1"/>
                <w:sz w:val="20"/>
                <w:szCs w:val="20"/>
              </w:rPr>
            </w:pPr>
            <w:r w:rsidRPr="007C7BF3">
              <w:rPr>
                <w:rFonts w:cstheme="minorHAnsi"/>
                <w:color w:val="FFFFFF" w:themeColor="background1"/>
                <w:sz w:val="20"/>
                <w:szCs w:val="20"/>
              </w:rPr>
              <w:t>Service Level</w:t>
            </w:r>
          </w:p>
        </w:tc>
        <w:tc>
          <w:tcPr>
            <w:tcW w:w="1134" w:type="dxa"/>
            <w:shd w:val="clear" w:color="auto" w:fill="002060"/>
          </w:tcPr>
          <w:p w:rsidR="00E965FA" w:rsidRPr="007C7BF3" w:rsidRDefault="00E965FA" w:rsidP="00A36D33">
            <w:pPr>
              <w:pStyle w:val="Heading2"/>
              <w:numPr>
                <w:ilvl w:val="0"/>
                <w:numId w:val="0"/>
              </w:numPr>
              <w:spacing w:before="100" w:beforeAutospacing="1" w:after="100" w:afterAutospacing="1" w:line="240" w:lineRule="auto"/>
              <w:jc w:val="both"/>
              <w:rPr>
                <w:rFonts w:cstheme="minorHAnsi"/>
                <w:color w:val="FFFFFF" w:themeColor="background1"/>
                <w:sz w:val="20"/>
                <w:szCs w:val="20"/>
              </w:rPr>
            </w:pPr>
            <w:r w:rsidRPr="007C7BF3">
              <w:rPr>
                <w:rFonts w:cstheme="minorHAnsi"/>
                <w:color w:val="FFFFFF" w:themeColor="background1"/>
                <w:sz w:val="20"/>
                <w:szCs w:val="20"/>
              </w:rPr>
              <w:t>Target #1</w:t>
            </w:r>
          </w:p>
        </w:tc>
        <w:tc>
          <w:tcPr>
            <w:tcW w:w="4677" w:type="dxa"/>
            <w:shd w:val="clear" w:color="auto" w:fill="002060"/>
          </w:tcPr>
          <w:p w:rsidR="00E965FA" w:rsidRPr="007C7BF3" w:rsidRDefault="00E965FA" w:rsidP="00A36D33">
            <w:pPr>
              <w:pStyle w:val="Heading2"/>
              <w:numPr>
                <w:ilvl w:val="0"/>
                <w:numId w:val="0"/>
              </w:numPr>
              <w:spacing w:before="100" w:beforeAutospacing="1" w:after="100" w:afterAutospacing="1" w:line="240" w:lineRule="auto"/>
              <w:jc w:val="both"/>
              <w:rPr>
                <w:rFonts w:cstheme="minorHAnsi"/>
                <w:color w:val="FFFFFF" w:themeColor="background1"/>
                <w:sz w:val="20"/>
                <w:szCs w:val="20"/>
              </w:rPr>
            </w:pPr>
            <w:r w:rsidRPr="007C7BF3">
              <w:rPr>
                <w:rFonts w:cstheme="minorHAnsi"/>
                <w:color w:val="FFFFFF" w:themeColor="background1"/>
                <w:sz w:val="20"/>
                <w:szCs w:val="20"/>
              </w:rPr>
              <w:t>Service Credit</w:t>
            </w:r>
          </w:p>
        </w:tc>
        <w:tc>
          <w:tcPr>
            <w:tcW w:w="1848" w:type="dxa"/>
            <w:shd w:val="clear" w:color="auto" w:fill="002060"/>
          </w:tcPr>
          <w:p w:rsidR="00E965FA" w:rsidRPr="007C7BF3" w:rsidRDefault="00E965FA" w:rsidP="00A36D33">
            <w:pPr>
              <w:pStyle w:val="Heading2"/>
              <w:numPr>
                <w:ilvl w:val="0"/>
                <w:numId w:val="0"/>
              </w:numPr>
              <w:spacing w:before="100" w:beforeAutospacing="1" w:after="100" w:afterAutospacing="1" w:line="240" w:lineRule="auto"/>
              <w:jc w:val="both"/>
              <w:rPr>
                <w:rFonts w:cstheme="minorHAnsi"/>
                <w:color w:val="FFFFFF" w:themeColor="background1"/>
                <w:sz w:val="20"/>
                <w:szCs w:val="20"/>
              </w:rPr>
            </w:pPr>
            <w:r w:rsidRPr="007C7BF3">
              <w:rPr>
                <w:rFonts w:cstheme="minorHAnsi"/>
                <w:color w:val="FFFFFF" w:themeColor="background1"/>
                <w:sz w:val="20"/>
                <w:szCs w:val="20"/>
              </w:rPr>
              <w:t>Target #2</w:t>
            </w:r>
          </w:p>
        </w:tc>
      </w:tr>
      <w:tr w:rsidR="00E965FA" w:rsidRPr="00E965FA" w:rsidTr="00E965FA">
        <w:tc>
          <w:tcPr>
            <w:tcW w:w="1555"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Priority 1</w:t>
            </w:r>
          </w:p>
        </w:tc>
        <w:tc>
          <w:tcPr>
            <w:tcW w:w="1134"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100%</w:t>
            </w:r>
          </w:p>
        </w:tc>
        <w:tc>
          <w:tcPr>
            <w:tcW w:w="4677"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5% of Charges per 1% below target</w:t>
            </w:r>
          </w:p>
        </w:tc>
        <w:tc>
          <w:tcPr>
            <w:tcW w:w="1848"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95%</w:t>
            </w:r>
          </w:p>
        </w:tc>
      </w:tr>
      <w:tr w:rsidR="00E965FA" w:rsidRPr="00E965FA" w:rsidTr="00E965FA">
        <w:tc>
          <w:tcPr>
            <w:tcW w:w="1555"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Priority 1</w:t>
            </w:r>
          </w:p>
        </w:tc>
        <w:tc>
          <w:tcPr>
            <w:tcW w:w="1134"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95%</w:t>
            </w:r>
          </w:p>
        </w:tc>
        <w:tc>
          <w:tcPr>
            <w:tcW w:w="4677"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2.5% of Charges per 1% below target</w:t>
            </w:r>
          </w:p>
        </w:tc>
        <w:tc>
          <w:tcPr>
            <w:tcW w:w="1848"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90%</w:t>
            </w:r>
          </w:p>
        </w:tc>
      </w:tr>
      <w:tr w:rsidR="00E965FA" w:rsidRPr="00E965FA" w:rsidTr="00E965FA">
        <w:tc>
          <w:tcPr>
            <w:tcW w:w="1555"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Priority 1</w:t>
            </w:r>
          </w:p>
        </w:tc>
        <w:tc>
          <w:tcPr>
            <w:tcW w:w="1134"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90%</w:t>
            </w:r>
          </w:p>
        </w:tc>
        <w:tc>
          <w:tcPr>
            <w:tcW w:w="4677"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1% of Charges per 1% below target</w:t>
            </w:r>
          </w:p>
        </w:tc>
        <w:tc>
          <w:tcPr>
            <w:tcW w:w="1848" w:type="dxa"/>
          </w:tcPr>
          <w:p w:rsidR="00E965FA" w:rsidRPr="00E965FA" w:rsidRDefault="00E965FA" w:rsidP="00A36D33">
            <w:pPr>
              <w:pStyle w:val="Heading2"/>
              <w:numPr>
                <w:ilvl w:val="0"/>
                <w:numId w:val="0"/>
              </w:numPr>
              <w:spacing w:before="100" w:beforeAutospacing="1" w:after="100" w:afterAutospacing="1" w:line="240" w:lineRule="auto"/>
              <w:jc w:val="both"/>
              <w:rPr>
                <w:rFonts w:cstheme="minorHAnsi"/>
                <w:b w:val="0"/>
                <w:color w:val="auto"/>
                <w:sz w:val="20"/>
                <w:szCs w:val="20"/>
              </w:rPr>
            </w:pPr>
            <w:r w:rsidRPr="00E965FA">
              <w:rPr>
                <w:rFonts w:cstheme="minorHAnsi"/>
                <w:b w:val="0"/>
                <w:color w:val="auto"/>
                <w:sz w:val="20"/>
                <w:szCs w:val="20"/>
              </w:rPr>
              <w:t>85%</w:t>
            </w:r>
          </w:p>
        </w:tc>
      </w:tr>
    </w:tbl>
    <w:p w:rsidR="00E965FA" w:rsidRPr="00E965FA" w:rsidRDefault="00E965FA" w:rsidP="00A36D33">
      <w:pPr>
        <w:tabs>
          <w:tab w:val="left" w:pos="567"/>
          <w:tab w:val="left" w:pos="709"/>
        </w:tabs>
        <w:spacing w:after="0" w:line="240" w:lineRule="auto"/>
        <w:jc w:val="both"/>
        <w:rPr>
          <w:sz w:val="20"/>
          <w:szCs w:val="20"/>
          <w:lang w:eastAsia="en-GB"/>
        </w:rPr>
      </w:pPr>
      <w:r w:rsidRPr="00E965FA">
        <w:rPr>
          <w:sz w:val="20"/>
          <w:szCs w:val="20"/>
          <w:lang w:eastAsia="en-GB"/>
        </w:rPr>
        <w:tab/>
      </w:r>
    </w:p>
    <w:p w:rsidR="00060B18" w:rsidRDefault="00157842" w:rsidP="00A36D33">
      <w:pPr>
        <w:tabs>
          <w:tab w:val="left" w:pos="567"/>
        </w:tabs>
        <w:ind w:left="567"/>
        <w:jc w:val="both"/>
        <w:rPr>
          <w:rFonts w:cstheme="minorHAnsi"/>
          <w:color w:val="000000" w:themeColor="text1"/>
          <w:sz w:val="20"/>
          <w:szCs w:val="20"/>
        </w:rPr>
      </w:pPr>
      <w:r>
        <w:rPr>
          <w:rFonts w:cstheme="minorHAnsi"/>
          <w:color w:val="000000" w:themeColor="text1"/>
          <w:sz w:val="20"/>
          <w:szCs w:val="20"/>
        </w:rPr>
        <w:t>Solutions in I.T.</w:t>
      </w:r>
      <w:r w:rsidRPr="00E965FA">
        <w:rPr>
          <w:rFonts w:cstheme="minorHAnsi"/>
          <w:color w:val="000000" w:themeColor="text1"/>
          <w:sz w:val="20"/>
          <w:szCs w:val="20"/>
        </w:rPr>
        <w:t>’s liability to the Client for Losses arising from breach of the Service Levels are</w:t>
      </w:r>
      <w:r w:rsidR="00E965FA" w:rsidRPr="00E965FA">
        <w:rPr>
          <w:rFonts w:cstheme="minorHAnsi"/>
          <w:color w:val="000000" w:themeColor="text1"/>
          <w:sz w:val="20"/>
          <w:szCs w:val="20"/>
        </w:rPr>
        <w:t xml:space="preserve"> limited to the Service Credits.</w:t>
      </w:r>
    </w:p>
    <w:p w:rsidR="00610D1B" w:rsidRPr="003B4629" w:rsidRDefault="00610D1B" w:rsidP="00A36D33">
      <w:pPr>
        <w:pStyle w:val="ListParagraph"/>
        <w:numPr>
          <w:ilvl w:val="0"/>
          <w:numId w:val="8"/>
        </w:numPr>
        <w:tabs>
          <w:tab w:val="left" w:pos="567"/>
        </w:tabs>
        <w:jc w:val="both"/>
        <w:rPr>
          <w:rFonts w:cstheme="minorHAnsi"/>
          <w:b/>
          <w:color w:val="548DD4" w:themeColor="text2" w:themeTint="99"/>
          <w:sz w:val="24"/>
          <w:szCs w:val="20"/>
        </w:rPr>
      </w:pPr>
      <w:r w:rsidRPr="00DC7D57">
        <w:rPr>
          <w:rFonts w:cstheme="minorHAnsi"/>
          <w:b/>
          <w:color w:val="002060"/>
          <w:sz w:val="24"/>
          <w:szCs w:val="20"/>
        </w:rPr>
        <w:t xml:space="preserve">Limits and Exclusions of </w:t>
      </w:r>
      <w:r w:rsidR="00DC7D57">
        <w:rPr>
          <w:rFonts w:cstheme="minorHAnsi"/>
          <w:b/>
          <w:color w:val="002060"/>
          <w:sz w:val="24"/>
          <w:szCs w:val="20"/>
        </w:rPr>
        <w:t>L</w:t>
      </w:r>
      <w:r w:rsidRPr="00DC7D57">
        <w:rPr>
          <w:rFonts w:cstheme="minorHAnsi"/>
          <w:b/>
          <w:color w:val="002060"/>
          <w:sz w:val="24"/>
          <w:szCs w:val="20"/>
        </w:rPr>
        <w:t>iability</w:t>
      </w:r>
    </w:p>
    <w:p w:rsidR="00610D1B" w:rsidRDefault="00610D1B" w:rsidP="00A36D33">
      <w:pPr>
        <w:pStyle w:val="ListParagraph"/>
        <w:tabs>
          <w:tab w:val="left" w:pos="567"/>
        </w:tabs>
        <w:spacing w:after="0" w:line="240" w:lineRule="auto"/>
        <w:ind w:left="0"/>
        <w:contextualSpacing w:val="0"/>
        <w:jc w:val="both"/>
        <w:rPr>
          <w:rFonts w:cstheme="minorHAnsi"/>
          <w:color w:val="000000" w:themeColor="text1"/>
          <w:sz w:val="20"/>
          <w:szCs w:val="20"/>
        </w:rPr>
      </w:pPr>
      <w:r w:rsidRPr="00610D1B">
        <w:rPr>
          <w:rFonts w:cstheme="minorHAnsi"/>
          <w:color w:val="000000" w:themeColor="text1"/>
          <w:sz w:val="20"/>
          <w:szCs w:val="20"/>
        </w:rPr>
        <w:t xml:space="preserve"> </w:t>
      </w:r>
      <w:r w:rsidR="00E44B9B">
        <w:rPr>
          <w:rFonts w:cstheme="minorHAnsi"/>
          <w:color w:val="000000" w:themeColor="text1"/>
          <w:sz w:val="20"/>
          <w:szCs w:val="20"/>
        </w:rPr>
        <w:t>6</w:t>
      </w:r>
      <w:r>
        <w:rPr>
          <w:rFonts w:cstheme="minorHAnsi"/>
          <w:color w:val="000000" w:themeColor="text1"/>
          <w:sz w:val="20"/>
          <w:szCs w:val="20"/>
        </w:rPr>
        <w:t>.1</w:t>
      </w:r>
      <w:r>
        <w:rPr>
          <w:rFonts w:cstheme="minorHAnsi"/>
          <w:color w:val="000000" w:themeColor="text1"/>
          <w:sz w:val="20"/>
          <w:szCs w:val="20"/>
        </w:rPr>
        <w:tab/>
      </w:r>
      <w:r w:rsidRPr="00610D1B">
        <w:rPr>
          <w:rFonts w:cstheme="minorHAnsi"/>
          <w:color w:val="000000" w:themeColor="text1"/>
          <w:sz w:val="20"/>
          <w:szCs w:val="20"/>
        </w:rPr>
        <w:t xml:space="preserve">Nothing in the Support Agreement excludes or limits the liability of either party for fraudulent misrepresentation, </w:t>
      </w:r>
      <w:r>
        <w:rPr>
          <w:rFonts w:cstheme="minorHAnsi"/>
          <w:color w:val="000000" w:themeColor="text1"/>
          <w:sz w:val="20"/>
          <w:szCs w:val="20"/>
        </w:rPr>
        <w:tab/>
      </w:r>
      <w:r w:rsidRPr="00610D1B">
        <w:rPr>
          <w:rFonts w:cstheme="minorHAnsi"/>
          <w:color w:val="000000" w:themeColor="text1"/>
          <w:sz w:val="20"/>
          <w:szCs w:val="20"/>
        </w:rPr>
        <w:t xml:space="preserve">for death or personal injury caused by its negligence, or for any civil remedy based on any successfully prosecuted </w:t>
      </w:r>
      <w:r>
        <w:rPr>
          <w:rFonts w:cstheme="minorHAnsi"/>
          <w:color w:val="000000" w:themeColor="text1"/>
          <w:sz w:val="20"/>
          <w:szCs w:val="20"/>
        </w:rPr>
        <w:tab/>
      </w:r>
      <w:r w:rsidRPr="00610D1B">
        <w:rPr>
          <w:rFonts w:cstheme="minorHAnsi"/>
          <w:color w:val="000000" w:themeColor="text1"/>
          <w:sz w:val="20"/>
          <w:szCs w:val="20"/>
        </w:rPr>
        <w:t>criminal act.</w:t>
      </w:r>
    </w:p>
    <w:p w:rsidR="00470F4C" w:rsidRDefault="00E44B9B" w:rsidP="00A36D33">
      <w:pPr>
        <w:pStyle w:val="ListParagraph"/>
        <w:tabs>
          <w:tab w:val="left" w:pos="567"/>
        </w:tabs>
        <w:spacing w:after="0" w:line="240" w:lineRule="auto"/>
        <w:ind w:left="0"/>
        <w:contextualSpacing w:val="0"/>
        <w:jc w:val="both"/>
        <w:rPr>
          <w:rFonts w:cstheme="minorHAnsi"/>
          <w:color w:val="000000" w:themeColor="text1"/>
          <w:sz w:val="20"/>
          <w:szCs w:val="20"/>
        </w:rPr>
      </w:pPr>
      <w:r>
        <w:rPr>
          <w:rFonts w:cstheme="minorHAnsi"/>
          <w:color w:val="000000" w:themeColor="text1"/>
          <w:sz w:val="20"/>
          <w:szCs w:val="20"/>
        </w:rPr>
        <w:t>6</w:t>
      </w:r>
      <w:r w:rsidR="00470F4C" w:rsidRPr="00470F4C">
        <w:rPr>
          <w:rFonts w:cstheme="minorHAnsi"/>
          <w:color w:val="000000" w:themeColor="text1"/>
          <w:sz w:val="20"/>
          <w:szCs w:val="20"/>
        </w:rPr>
        <w:t>.2</w:t>
      </w:r>
      <w:r w:rsidR="00470F4C" w:rsidRPr="00470F4C">
        <w:rPr>
          <w:rFonts w:cstheme="minorHAnsi"/>
          <w:color w:val="000000" w:themeColor="text1"/>
          <w:sz w:val="20"/>
          <w:szCs w:val="20"/>
        </w:rPr>
        <w:tab/>
        <w:t xml:space="preserve">Each party’s maximum aggregate liability to the other for Losses under or in connection with the Support Agreement </w:t>
      </w:r>
      <w:r w:rsidR="00E53DFE">
        <w:rPr>
          <w:rFonts w:cstheme="minorHAnsi"/>
          <w:color w:val="000000" w:themeColor="text1"/>
          <w:sz w:val="20"/>
          <w:szCs w:val="20"/>
        </w:rPr>
        <w:tab/>
      </w:r>
      <w:r w:rsidR="00470F4C" w:rsidRPr="00470F4C">
        <w:rPr>
          <w:rFonts w:cstheme="minorHAnsi"/>
          <w:color w:val="000000" w:themeColor="text1"/>
          <w:sz w:val="20"/>
          <w:szCs w:val="20"/>
        </w:rPr>
        <w:t xml:space="preserve">(or any collateral agreement) in contract, tort (including negligence) or otherwise is limited to the amount of the </w:t>
      </w:r>
      <w:r w:rsidR="00E53DFE">
        <w:rPr>
          <w:rFonts w:cstheme="minorHAnsi"/>
          <w:color w:val="000000" w:themeColor="text1"/>
          <w:sz w:val="20"/>
          <w:szCs w:val="20"/>
        </w:rPr>
        <w:tab/>
      </w:r>
      <w:r w:rsidR="00470F4C" w:rsidRPr="00470F4C">
        <w:rPr>
          <w:rFonts w:cstheme="minorHAnsi"/>
          <w:color w:val="000000" w:themeColor="text1"/>
          <w:sz w:val="20"/>
          <w:szCs w:val="20"/>
        </w:rPr>
        <w:t>Liability Cap.</w:t>
      </w:r>
    </w:p>
    <w:p w:rsidR="00E53DFE" w:rsidRDefault="00E44B9B" w:rsidP="00A36D33">
      <w:pPr>
        <w:pStyle w:val="ListParagraph"/>
        <w:tabs>
          <w:tab w:val="left" w:pos="567"/>
        </w:tabs>
        <w:spacing w:after="0" w:line="240" w:lineRule="auto"/>
        <w:ind w:left="0"/>
        <w:contextualSpacing w:val="0"/>
        <w:jc w:val="both"/>
        <w:rPr>
          <w:rFonts w:cstheme="minorHAnsi"/>
          <w:color w:val="000000" w:themeColor="text1"/>
          <w:sz w:val="20"/>
          <w:szCs w:val="20"/>
        </w:rPr>
      </w:pPr>
      <w:r>
        <w:rPr>
          <w:rFonts w:cstheme="minorHAnsi"/>
          <w:color w:val="000000" w:themeColor="text1"/>
          <w:sz w:val="20"/>
          <w:szCs w:val="20"/>
        </w:rPr>
        <w:t>6</w:t>
      </w:r>
      <w:r w:rsidR="00E53DFE" w:rsidRPr="00E53DFE">
        <w:rPr>
          <w:rFonts w:cstheme="minorHAnsi"/>
          <w:color w:val="000000" w:themeColor="text1"/>
          <w:sz w:val="20"/>
          <w:szCs w:val="20"/>
        </w:rPr>
        <w:t>.3</w:t>
      </w:r>
      <w:r w:rsidR="00E53DFE" w:rsidRPr="00E53DFE">
        <w:rPr>
          <w:rFonts w:cstheme="minorHAnsi"/>
          <w:color w:val="000000" w:themeColor="text1"/>
          <w:sz w:val="20"/>
          <w:szCs w:val="20"/>
        </w:rPr>
        <w:tab/>
        <w:t xml:space="preserve">The Client may request an increase to the Liability Cap in favour of the Client in return for an increment to the Fees of </w:t>
      </w:r>
      <w:r w:rsidR="00E53DFE">
        <w:rPr>
          <w:rFonts w:cstheme="minorHAnsi"/>
          <w:color w:val="000000" w:themeColor="text1"/>
          <w:sz w:val="20"/>
          <w:szCs w:val="20"/>
        </w:rPr>
        <w:tab/>
      </w:r>
      <w:r w:rsidR="00E53DFE" w:rsidRPr="00E53DFE">
        <w:rPr>
          <w:rFonts w:cstheme="minorHAnsi"/>
          <w:color w:val="000000" w:themeColor="text1"/>
          <w:sz w:val="20"/>
          <w:szCs w:val="20"/>
        </w:rPr>
        <w:t xml:space="preserve">5% for each whole number multiple of the Liability Cap.  Any higher limit agreed under this Section will be recorded in </w:t>
      </w:r>
      <w:r w:rsidR="00E53DFE">
        <w:rPr>
          <w:rFonts w:cstheme="minorHAnsi"/>
          <w:color w:val="000000" w:themeColor="text1"/>
          <w:sz w:val="20"/>
          <w:szCs w:val="20"/>
        </w:rPr>
        <w:tab/>
      </w:r>
      <w:r w:rsidR="00E53DFE" w:rsidRPr="00E53DFE">
        <w:rPr>
          <w:rFonts w:cstheme="minorHAnsi"/>
          <w:color w:val="000000" w:themeColor="text1"/>
          <w:sz w:val="20"/>
          <w:szCs w:val="20"/>
        </w:rPr>
        <w:t xml:space="preserve">the Table on page 1 but this will not affect the Liability Cap as it applies to the Client’s liability to </w:t>
      </w:r>
      <w:r w:rsidR="00481458">
        <w:rPr>
          <w:rFonts w:cstheme="minorHAnsi"/>
          <w:color w:val="000000" w:themeColor="text1"/>
          <w:sz w:val="20"/>
          <w:szCs w:val="20"/>
        </w:rPr>
        <w:t>Solutions in I.T.</w:t>
      </w:r>
    </w:p>
    <w:p w:rsidR="00E53DFE" w:rsidRDefault="00E44B9B" w:rsidP="00A36D33">
      <w:pPr>
        <w:pStyle w:val="ListParagraph"/>
        <w:tabs>
          <w:tab w:val="left" w:pos="567"/>
        </w:tabs>
        <w:spacing w:after="0" w:line="240" w:lineRule="auto"/>
        <w:ind w:left="0"/>
        <w:contextualSpacing w:val="0"/>
        <w:jc w:val="both"/>
        <w:rPr>
          <w:rFonts w:cstheme="minorHAnsi"/>
          <w:color w:val="000000" w:themeColor="text1"/>
          <w:sz w:val="20"/>
          <w:szCs w:val="20"/>
        </w:rPr>
      </w:pPr>
      <w:r>
        <w:rPr>
          <w:rFonts w:cstheme="minorHAnsi"/>
          <w:color w:val="000000" w:themeColor="text1"/>
          <w:sz w:val="20"/>
          <w:szCs w:val="20"/>
        </w:rPr>
        <w:t>6</w:t>
      </w:r>
      <w:r w:rsidR="00E53DFE" w:rsidRPr="00E53DFE">
        <w:rPr>
          <w:rFonts w:cstheme="minorHAnsi"/>
          <w:color w:val="000000" w:themeColor="text1"/>
          <w:sz w:val="20"/>
          <w:szCs w:val="20"/>
        </w:rPr>
        <w:t>.4</w:t>
      </w:r>
      <w:r w:rsidR="00E53DFE" w:rsidRPr="00E53DFE">
        <w:rPr>
          <w:rFonts w:cstheme="minorHAnsi"/>
          <w:color w:val="000000" w:themeColor="text1"/>
          <w:sz w:val="20"/>
          <w:szCs w:val="20"/>
        </w:rPr>
        <w:tab/>
        <w:t xml:space="preserve">Neither party shall be liable to the other for any Losses that are not reasonably foreseeable as flowing directly from a </w:t>
      </w:r>
      <w:r w:rsidR="00E53DFE">
        <w:rPr>
          <w:rFonts w:cstheme="minorHAnsi"/>
          <w:color w:val="000000" w:themeColor="text1"/>
          <w:sz w:val="20"/>
          <w:szCs w:val="20"/>
        </w:rPr>
        <w:tab/>
      </w:r>
      <w:r w:rsidR="00E53DFE" w:rsidRPr="00E53DFE">
        <w:rPr>
          <w:rFonts w:cstheme="minorHAnsi"/>
          <w:color w:val="000000" w:themeColor="text1"/>
          <w:sz w:val="20"/>
          <w:szCs w:val="20"/>
        </w:rPr>
        <w:t xml:space="preserve">party’s breach of contract or tortious act and both parties acknowledge they have not advised the other of any </w:t>
      </w:r>
      <w:r w:rsidR="00E53DFE">
        <w:rPr>
          <w:rFonts w:cstheme="minorHAnsi"/>
          <w:color w:val="000000" w:themeColor="text1"/>
          <w:sz w:val="20"/>
          <w:szCs w:val="20"/>
        </w:rPr>
        <w:tab/>
      </w:r>
      <w:r w:rsidR="00E53DFE" w:rsidRPr="00E53DFE">
        <w:rPr>
          <w:rFonts w:cstheme="minorHAnsi"/>
          <w:color w:val="000000" w:themeColor="text1"/>
          <w:sz w:val="20"/>
          <w:szCs w:val="20"/>
        </w:rPr>
        <w:t>specific indirect losses they may suffer as the result of the other’s breach of contract or tortious act.</w:t>
      </w:r>
    </w:p>
    <w:p w:rsidR="00E53DFE" w:rsidRDefault="00E44B9B" w:rsidP="00A36D33">
      <w:pPr>
        <w:pStyle w:val="ListParagraph"/>
        <w:tabs>
          <w:tab w:val="left" w:pos="567"/>
        </w:tabs>
        <w:spacing w:after="0" w:line="240" w:lineRule="auto"/>
        <w:ind w:left="578" w:hanging="578"/>
        <w:contextualSpacing w:val="0"/>
        <w:jc w:val="both"/>
        <w:rPr>
          <w:rFonts w:cstheme="minorHAnsi"/>
          <w:color w:val="000000" w:themeColor="text1"/>
          <w:sz w:val="20"/>
          <w:szCs w:val="20"/>
        </w:rPr>
      </w:pPr>
      <w:r>
        <w:rPr>
          <w:rFonts w:cstheme="minorHAnsi"/>
          <w:color w:val="000000" w:themeColor="text1"/>
          <w:sz w:val="20"/>
          <w:szCs w:val="20"/>
        </w:rPr>
        <w:t>6</w:t>
      </w:r>
      <w:r w:rsidR="00E53DFE" w:rsidRPr="00E53DFE">
        <w:rPr>
          <w:rFonts w:cstheme="minorHAnsi"/>
          <w:color w:val="000000" w:themeColor="text1"/>
          <w:sz w:val="20"/>
          <w:szCs w:val="20"/>
        </w:rPr>
        <w:t>.5</w:t>
      </w:r>
      <w:r w:rsidR="00E53DFE" w:rsidRPr="00E53DFE">
        <w:rPr>
          <w:rFonts w:cstheme="minorHAnsi"/>
          <w:color w:val="000000" w:themeColor="text1"/>
          <w:sz w:val="20"/>
          <w:szCs w:val="20"/>
        </w:rPr>
        <w:tab/>
        <w:t xml:space="preserve">The Client the fact that </w:t>
      </w:r>
      <w:r w:rsidR="00481458">
        <w:rPr>
          <w:rFonts w:cstheme="minorHAnsi"/>
          <w:color w:val="000000" w:themeColor="text1"/>
          <w:sz w:val="20"/>
          <w:szCs w:val="20"/>
        </w:rPr>
        <w:t>Solutions in I.T.</w:t>
      </w:r>
      <w:r w:rsidR="00000C8D">
        <w:rPr>
          <w:rFonts w:cstheme="minorHAnsi"/>
          <w:color w:val="000000" w:themeColor="text1"/>
          <w:sz w:val="20"/>
          <w:szCs w:val="20"/>
        </w:rPr>
        <w:t xml:space="preserve"> </w:t>
      </w:r>
      <w:r w:rsidR="00E53DFE" w:rsidRPr="00E53DFE">
        <w:rPr>
          <w:rFonts w:cstheme="minorHAnsi"/>
          <w:color w:val="000000" w:themeColor="text1"/>
          <w:sz w:val="20"/>
          <w:szCs w:val="20"/>
        </w:rPr>
        <w:t xml:space="preserve">has agreed to provide the Support Services does not give rise to any warranty that </w:t>
      </w:r>
      <w:r w:rsidR="006A7136">
        <w:rPr>
          <w:rFonts w:cstheme="minorHAnsi"/>
          <w:color w:val="000000" w:themeColor="text1"/>
          <w:sz w:val="20"/>
          <w:szCs w:val="20"/>
        </w:rPr>
        <w:t>Solutions in I.T.</w:t>
      </w:r>
      <w:r w:rsidR="00E53DFE" w:rsidRPr="00E53DFE">
        <w:rPr>
          <w:rFonts w:cstheme="minorHAnsi"/>
          <w:color w:val="000000" w:themeColor="text1"/>
          <w:sz w:val="20"/>
          <w:szCs w:val="20"/>
        </w:rPr>
        <w:t xml:space="preserve"> considers the System to be adequate or suitable for the Client’s Requirements and </w:t>
      </w:r>
      <w:r w:rsidR="00481458">
        <w:rPr>
          <w:rFonts w:cstheme="minorHAnsi"/>
          <w:color w:val="000000" w:themeColor="text1"/>
          <w:sz w:val="20"/>
          <w:szCs w:val="20"/>
        </w:rPr>
        <w:t>Solutions in I.T.</w:t>
      </w:r>
      <w:r w:rsidR="00000C8D">
        <w:rPr>
          <w:rFonts w:cstheme="minorHAnsi"/>
          <w:color w:val="000000" w:themeColor="text1"/>
          <w:sz w:val="20"/>
          <w:szCs w:val="20"/>
        </w:rPr>
        <w:t xml:space="preserve"> </w:t>
      </w:r>
      <w:r w:rsidR="00E53DFE" w:rsidRPr="00E53DFE">
        <w:rPr>
          <w:rFonts w:cstheme="minorHAnsi"/>
          <w:color w:val="000000" w:themeColor="text1"/>
          <w:sz w:val="20"/>
          <w:szCs w:val="20"/>
        </w:rPr>
        <w:t>is not obliged to provide advice or recommendations for improvements to the System unless specifically requested by the Client (for which additional Charges may apply).</w:t>
      </w:r>
    </w:p>
    <w:p w:rsidR="00E53DFE" w:rsidRDefault="00E44B9B" w:rsidP="00A36D33">
      <w:pPr>
        <w:pStyle w:val="ListParagraph"/>
        <w:tabs>
          <w:tab w:val="left" w:pos="567"/>
        </w:tabs>
        <w:spacing w:after="0" w:line="240" w:lineRule="auto"/>
        <w:ind w:left="0"/>
        <w:contextualSpacing w:val="0"/>
        <w:jc w:val="both"/>
        <w:rPr>
          <w:rFonts w:cstheme="minorHAnsi"/>
          <w:color w:val="000000" w:themeColor="text1"/>
          <w:sz w:val="20"/>
          <w:szCs w:val="20"/>
        </w:rPr>
      </w:pPr>
      <w:r>
        <w:rPr>
          <w:rFonts w:cstheme="minorHAnsi"/>
          <w:color w:val="000000" w:themeColor="text1"/>
          <w:sz w:val="20"/>
          <w:szCs w:val="20"/>
        </w:rPr>
        <w:t>6</w:t>
      </w:r>
      <w:r w:rsidR="00E53DFE" w:rsidRPr="00E53DFE">
        <w:rPr>
          <w:rFonts w:cstheme="minorHAnsi"/>
          <w:color w:val="000000" w:themeColor="text1"/>
          <w:sz w:val="20"/>
          <w:szCs w:val="20"/>
        </w:rPr>
        <w:t>.6</w:t>
      </w:r>
      <w:r w:rsidR="00E53DFE" w:rsidRPr="00E53DFE">
        <w:rPr>
          <w:rFonts w:cstheme="minorHAnsi"/>
          <w:color w:val="000000" w:themeColor="text1"/>
          <w:sz w:val="20"/>
          <w:szCs w:val="20"/>
        </w:rPr>
        <w:tab/>
        <w:t>Liability for infringement of intellectual property rights shall be limited to breaches of rights subsisting in the UK.</w:t>
      </w:r>
    </w:p>
    <w:p w:rsidR="00E53DFE" w:rsidRDefault="00E44B9B" w:rsidP="00A36D33">
      <w:pPr>
        <w:pStyle w:val="ListParagraph"/>
        <w:tabs>
          <w:tab w:val="left" w:pos="567"/>
        </w:tabs>
        <w:spacing w:after="0" w:line="240" w:lineRule="auto"/>
        <w:ind w:left="578" w:hanging="578"/>
        <w:contextualSpacing w:val="0"/>
        <w:jc w:val="both"/>
        <w:rPr>
          <w:rFonts w:cstheme="minorHAnsi"/>
          <w:color w:val="000000" w:themeColor="text1"/>
          <w:sz w:val="20"/>
          <w:szCs w:val="20"/>
        </w:rPr>
      </w:pPr>
      <w:r>
        <w:rPr>
          <w:rFonts w:cstheme="minorHAnsi"/>
          <w:color w:val="000000" w:themeColor="text1"/>
          <w:sz w:val="20"/>
          <w:szCs w:val="20"/>
        </w:rPr>
        <w:t>6</w:t>
      </w:r>
      <w:r w:rsidR="00E53DFE" w:rsidRPr="00E53DFE">
        <w:rPr>
          <w:rFonts w:cstheme="minorHAnsi"/>
          <w:color w:val="000000" w:themeColor="text1"/>
          <w:sz w:val="20"/>
          <w:szCs w:val="20"/>
        </w:rPr>
        <w:t>.7</w:t>
      </w:r>
      <w:r w:rsidR="00E53DFE" w:rsidRPr="00E53DFE">
        <w:rPr>
          <w:rFonts w:cstheme="minorHAnsi"/>
          <w:color w:val="000000" w:themeColor="text1"/>
          <w:sz w:val="20"/>
          <w:szCs w:val="20"/>
        </w:rPr>
        <w:tab/>
        <w:t xml:space="preserve">There are no conditions, warranties, representations, duties or other terms, express or implied, that are binding on </w:t>
      </w:r>
      <w:r>
        <w:rPr>
          <w:rFonts w:cstheme="minorHAnsi"/>
          <w:color w:val="000000" w:themeColor="text1"/>
          <w:sz w:val="20"/>
          <w:szCs w:val="20"/>
        </w:rPr>
        <w:t>Solutions in I.T. Limited</w:t>
      </w:r>
      <w:r w:rsidR="00E53DFE" w:rsidRPr="00E53DFE">
        <w:rPr>
          <w:rFonts w:cstheme="minorHAnsi"/>
          <w:color w:val="000000" w:themeColor="text1"/>
          <w:sz w:val="20"/>
          <w:szCs w:val="20"/>
        </w:rPr>
        <w:t xml:space="preserve"> except as specifically stated in this Support Agreement. Any condition, warranty, representation, duty, collateral contract or term which might otherwise be implied into or incorporated in this Support Agreement, whether by statute, common law or otherwise, is excluded to the fullest extent permitted by law.</w:t>
      </w:r>
    </w:p>
    <w:p w:rsidR="003D283F" w:rsidRDefault="00E44B9B" w:rsidP="00A36D33">
      <w:pPr>
        <w:pStyle w:val="ListParagraph"/>
        <w:tabs>
          <w:tab w:val="left" w:pos="567"/>
        </w:tabs>
        <w:spacing w:after="0" w:line="240" w:lineRule="auto"/>
        <w:ind w:left="0"/>
        <w:contextualSpacing w:val="0"/>
        <w:jc w:val="both"/>
        <w:rPr>
          <w:rFonts w:cstheme="minorHAnsi"/>
          <w:color w:val="000000" w:themeColor="text1"/>
          <w:sz w:val="20"/>
          <w:szCs w:val="20"/>
        </w:rPr>
      </w:pPr>
      <w:r>
        <w:rPr>
          <w:rFonts w:cstheme="minorHAnsi"/>
          <w:color w:val="000000" w:themeColor="text1"/>
          <w:sz w:val="20"/>
          <w:szCs w:val="20"/>
        </w:rPr>
        <w:t>6.8</w:t>
      </w:r>
      <w:r>
        <w:rPr>
          <w:rFonts w:cstheme="minorHAnsi"/>
          <w:color w:val="000000" w:themeColor="text1"/>
          <w:sz w:val="20"/>
          <w:szCs w:val="20"/>
        </w:rPr>
        <w:tab/>
        <w:t>Nothing in this Section 6</w:t>
      </w:r>
      <w:r w:rsidR="003D283F" w:rsidRPr="003D283F">
        <w:rPr>
          <w:rFonts w:cstheme="minorHAnsi"/>
          <w:color w:val="000000" w:themeColor="text1"/>
          <w:sz w:val="20"/>
          <w:szCs w:val="20"/>
        </w:rPr>
        <w:t xml:space="preserve"> affects </w:t>
      </w:r>
      <w:r w:rsidR="00481458">
        <w:rPr>
          <w:rFonts w:cstheme="minorHAnsi"/>
          <w:color w:val="000000" w:themeColor="text1"/>
          <w:sz w:val="20"/>
          <w:szCs w:val="20"/>
        </w:rPr>
        <w:t>Solutions in I.T.</w:t>
      </w:r>
      <w:r w:rsidR="003D283F" w:rsidRPr="003D283F">
        <w:rPr>
          <w:rFonts w:cstheme="minorHAnsi"/>
          <w:color w:val="000000" w:themeColor="text1"/>
          <w:sz w:val="20"/>
          <w:szCs w:val="20"/>
        </w:rPr>
        <w:t>’s right to recover unpaid Charges</w:t>
      </w:r>
    </w:p>
    <w:p w:rsidR="003D283F" w:rsidRDefault="003D283F" w:rsidP="00A36D33">
      <w:pPr>
        <w:pStyle w:val="ListParagraph"/>
        <w:tabs>
          <w:tab w:val="left" w:pos="567"/>
        </w:tabs>
        <w:spacing w:after="0" w:line="240" w:lineRule="auto"/>
        <w:ind w:left="0"/>
        <w:contextualSpacing w:val="0"/>
        <w:jc w:val="both"/>
        <w:rPr>
          <w:rFonts w:cstheme="minorHAnsi"/>
          <w:color w:val="000000" w:themeColor="text1"/>
          <w:sz w:val="20"/>
          <w:szCs w:val="20"/>
        </w:rPr>
      </w:pPr>
    </w:p>
    <w:p w:rsidR="003D283F" w:rsidRPr="00DC7D57" w:rsidRDefault="003D283F" w:rsidP="00A36D33">
      <w:pPr>
        <w:pStyle w:val="ListParagraph"/>
        <w:numPr>
          <w:ilvl w:val="0"/>
          <w:numId w:val="8"/>
        </w:numPr>
        <w:tabs>
          <w:tab w:val="left" w:pos="567"/>
        </w:tabs>
        <w:spacing w:after="0" w:line="240" w:lineRule="auto"/>
        <w:contextualSpacing w:val="0"/>
        <w:jc w:val="both"/>
        <w:rPr>
          <w:rFonts w:cstheme="minorHAnsi"/>
          <w:b/>
          <w:color w:val="002060"/>
          <w:sz w:val="24"/>
          <w:szCs w:val="20"/>
        </w:rPr>
      </w:pPr>
      <w:r w:rsidRPr="00DC7D57">
        <w:rPr>
          <w:rFonts w:cstheme="minorHAnsi"/>
          <w:b/>
          <w:color w:val="002060"/>
          <w:sz w:val="24"/>
          <w:szCs w:val="20"/>
        </w:rPr>
        <w:t>Confidentiality</w:t>
      </w:r>
    </w:p>
    <w:p w:rsidR="00470F4C" w:rsidRDefault="00E44B9B" w:rsidP="00A36D33">
      <w:pPr>
        <w:pStyle w:val="ListParagraph"/>
        <w:tabs>
          <w:tab w:val="left" w:pos="567"/>
        </w:tabs>
        <w:spacing w:before="100" w:beforeAutospacing="1" w:after="100" w:afterAutospacing="1" w:line="240" w:lineRule="auto"/>
        <w:ind w:left="0"/>
        <w:jc w:val="both"/>
        <w:rPr>
          <w:rFonts w:cstheme="minorHAnsi"/>
          <w:color w:val="000000" w:themeColor="text1"/>
          <w:sz w:val="20"/>
          <w:szCs w:val="20"/>
        </w:rPr>
      </w:pPr>
      <w:r>
        <w:rPr>
          <w:rFonts w:cstheme="minorHAnsi"/>
          <w:color w:val="000000" w:themeColor="text1"/>
          <w:sz w:val="20"/>
          <w:szCs w:val="20"/>
        </w:rPr>
        <w:t>7</w:t>
      </w:r>
      <w:r w:rsidR="003D283F" w:rsidRPr="003D283F">
        <w:rPr>
          <w:rFonts w:cstheme="minorHAnsi"/>
          <w:color w:val="000000" w:themeColor="text1"/>
          <w:sz w:val="20"/>
          <w:szCs w:val="20"/>
        </w:rPr>
        <w:t>.1</w:t>
      </w:r>
      <w:r w:rsidR="003D283F" w:rsidRPr="003D283F">
        <w:rPr>
          <w:rFonts w:cstheme="minorHAnsi"/>
          <w:color w:val="000000" w:themeColor="text1"/>
          <w:sz w:val="20"/>
          <w:szCs w:val="20"/>
        </w:rPr>
        <w:tab/>
        <w:t xml:space="preserve">Both parties will keep all information that is confidential to, or trade secret of, the other that they </w:t>
      </w:r>
      <w:r w:rsidR="009F3CA7" w:rsidRPr="003D283F">
        <w:rPr>
          <w:rFonts w:cstheme="minorHAnsi"/>
          <w:color w:val="000000" w:themeColor="text1"/>
          <w:sz w:val="20"/>
          <w:szCs w:val="20"/>
        </w:rPr>
        <w:t>become</w:t>
      </w:r>
      <w:r w:rsidR="003D283F" w:rsidRPr="003D283F">
        <w:rPr>
          <w:rFonts w:cstheme="minorHAnsi"/>
          <w:color w:val="000000" w:themeColor="text1"/>
          <w:sz w:val="20"/>
          <w:szCs w:val="20"/>
        </w:rPr>
        <w:t xml:space="preserve"> privy to </w:t>
      </w:r>
      <w:r w:rsidR="003D283F">
        <w:rPr>
          <w:rFonts w:cstheme="minorHAnsi"/>
          <w:color w:val="000000" w:themeColor="text1"/>
          <w:sz w:val="20"/>
          <w:szCs w:val="20"/>
        </w:rPr>
        <w:tab/>
      </w:r>
      <w:r w:rsidR="003D283F" w:rsidRPr="003D283F">
        <w:rPr>
          <w:rFonts w:cstheme="minorHAnsi"/>
          <w:color w:val="000000" w:themeColor="text1"/>
          <w:sz w:val="20"/>
          <w:szCs w:val="20"/>
        </w:rPr>
        <w:t xml:space="preserve">during the term of the Support Agreement suitably protected and safe to the standard that a reasonable businessman </w:t>
      </w:r>
      <w:r w:rsidR="003D283F">
        <w:rPr>
          <w:rFonts w:cstheme="minorHAnsi"/>
          <w:color w:val="000000" w:themeColor="text1"/>
          <w:sz w:val="20"/>
          <w:szCs w:val="20"/>
        </w:rPr>
        <w:tab/>
      </w:r>
      <w:r w:rsidR="003D283F" w:rsidRPr="003D283F">
        <w:rPr>
          <w:rFonts w:cstheme="minorHAnsi"/>
          <w:color w:val="000000" w:themeColor="text1"/>
          <w:sz w:val="20"/>
          <w:szCs w:val="20"/>
        </w:rPr>
        <w:t>would take in respect of his own confidential information.</w:t>
      </w:r>
    </w:p>
    <w:p w:rsidR="003D283F" w:rsidRDefault="00E44B9B" w:rsidP="00A36D33">
      <w:pPr>
        <w:pStyle w:val="ListParagraph"/>
        <w:tabs>
          <w:tab w:val="left" w:pos="567"/>
        </w:tabs>
        <w:spacing w:before="100" w:beforeAutospacing="1" w:after="100" w:afterAutospacing="1" w:line="240" w:lineRule="auto"/>
        <w:ind w:left="0"/>
        <w:jc w:val="both"/>
        <w:rPr>
          <w:rFonts w:cstheme="minorHAnsi"/>
          <w:color w:val="000000" w:themeColor="text1"/>
          <w:sz w:val="20"/>
          <w:szCs w:val="20"/>
        </w:rPr>
      </w:pPr>
      <w:r>
        <w:rPr>
          <w:rFonts w:cstheme="minorHAnsi"/>
          <w:color w:val="000000" w:themeColor="text1"/>
          <w:sz w:val="20"/>
          <w:szCs w:val="20"/>
        </w:rPr>
        <w:t>7</w:t>
      </w:r>
      <w:r w:rsidR="003D283F" w:rsidRPr="003D283F">
        <w:rPr>
          <w:rFonts w:cstheme="minorHAnsi"/>
          <w:color w:val="000000" w:themeColor="text1"/>
          <w:sz w:val="20"/>
          <w:szCs w:val="20"/>
        </w:rPr>
        <w:t>.2</w:t>
      </w:r>
      <w:r w:rsidR="003D283F" w:rsidRPr="003D283F">
        <w:rPr>
          <w:rFonts w:cstheme="minorHAnsi"/>
          <w:color w:val="000000" w:themeColor="text1"/>
          <w:sz w:val="20"/>
          <w:szCs w:val="20"/>
        </w:rPr>
        <w:tab/>
        <w:t xml:space="preserve">All confidential information in physical form will be kept under lock and key and information held electronically will be </w:t>
      </w:r>
      <w:r w:rsidR="003D283F">
        <w:rPr>
          <w:rFonts w:cstheme="minorHAnsi"/>
          <w:color w:val="000000" w:themeColor="text1"/>
          <w:sz w:val="20"/>
          <w:szCs w:val="20"/>
        </w:rPr>
        <w:tab/>
      </w:r>
      <w:r w:rsidR="003D283F" w:rsidRPr="003D283F">
        <w:rPr>
          <w:rFonts w:cstheme="minorHAnsi"/>
          <w:color w:val="000000" w:themeColor="text1"/>
          <w:sz w:val="20"/>
          <w:szCs w:val="20"/>
        </w:rPr>
        <w:t>kept on password protected computer equipment</w:t>
      </w:r>
    </w:p>
    <w:p w:rsidR="003D283F" w:rsidRDefault="00E44B9B" w:rsidP="00A36D33">
      <w:pPr>
        <w:pStyle w:val="ListParagraph"/>
        <w:tabs>
          <w:tab w:val="left" w:pos="567"/>
        </w:tabs>
        <w:spacing w:before="100" w:beforeAutospacing="1" w:after="100" w:afterAutospacing="1" w:line="240" w:lineRule="auto"/>
        <w:ind w:left="0"/>
        <w:jc w:val="both"/>
        <w:rPr>
          <w:rFonts w:cstheme="minorHAnsi"/>
          <w:color w:val="000000" w:themeColor="text1"/>
          <w:sz w:val="20"/>
          <w:szCs w:val="20"/>
        </w:rPr>
      </w:pPr>
      <w:r>
        <w:rPr>
          <w:rFonts w:cstheme="minorHAnsi"/>
          <w:color w:val="000000" w:themeColor="text1"/>
          <w:sz w:val="20"/>
          <w:szCs w:val="20"/>
        </w:rPr>
        <w:t>7</w:t>
      </w:r>
      <w:r w:rsidR="003D283F" w:rsidRPr="003D283F">
        <w:rPr>
          <w:rFonts w:cstheme="minorHAnsi"/>
          <w:color w:val="000000" w:themeColor="text1"/>
          <w:sz w:val="20"/>
          <w:szCs w:val="20"/>
        </w:rPr>
        <w:t>.3</w:t>
      </w:r>
      <w:r w:rsidR="003D283F" w:rsidRPr="003D283F">
        <w:rPr>
          <w:rFonts w:cstheme="minorHAnsi"/>
          <w:color w:val="000000" w:themeColor="text1"/>
          <w:sz w:val="20"/>
          <w:szCs w:val="20"/>
        </w:rPr>
        <w:tab/>
        <w:t xml:space="preserve">The obligations in this section will not apply to information that is in the public domain or that is lawfully demanded </w:t>
      </w:r>
      <w:r w:rsidR="003D283F">
        <w:rPr>
          <w:rFonts w:cstheme="minorHAnsi"/>
          <w:color w:val="000000" w:themeColor="text1"/>
          <w:sz w:val="20"/>
          <w:szCs w:val="20"/>
        </w:rPr>
        <w:tab/>
      </w:r>
      <w:r w:rsidR="003D283F" w:rsidRPr="003D283F">
        <w:rPr>
          <w:rFonts w:cstheme="minorHAnsi"/>
          <w:color w:val="000000" w:themeColor="text1"/>
          <w:sz w:val="20"/>
          <w:szCs w:val="20"/>
        </w:rPr>
        <w:t xml:space="preserve">from a party by the courts, a government or regulatory body with the legal power to demand the same, save that in </w:t>
      </w:r>
      <w:r w:rsidR="003D283F">
        <w:rPr>
          <w:rFonts w:cstheme="minorHAnsi"/>
          <w:color w:val="000000" w:themeColor="text1"/>
          <w:sz w:val="20"/>
          <w:szCs w:val="20"/>
        </w:rPr>
        <w:tab/>
      </w:r>
      <w:r w:rsidR="003D283F" w:rsidRPr="003D283F">
        <w:rPr>
          <w:rFonts w:cstheme="minorHAnsi"/>
          <w:color w:val="000000" w:themeColor="text1"/>
          <w:sz w:val="20"/>
          <w:szCs w:val="20"/>
        </w:rPr>
        <w:t xml:space="preserve">such circumstances (where legally permitted to do so) the party from which demand is made will inform the other in </w:t>
      </w:r>
      <w:r w:rsidR="003D283F">
        <w:rPr>
          <w:rFonts w:cstheme="minorHAnsi"/>
          <w:color w:val="000000" w:themeColor="text1"/>
          <w:sz w:val="20"/>
          <w:szCs w:val="20"/>
        </w:rPr>
        <w:tab/>
      </w:r>
      <w:r w:rsidR="003D283F" w:rsidRPr="003D283F">
        <w:rPr>
          <w:rFonts w:cstheme="minorHAnsi"/>
          <w:color w:val="000000" w:themeColor="text1"/>
          <w:sz w:val="20"/>
          <w:szCs w:val="20"/>
        </w:rPr>
        <w:t>sufficient time to allow the other to take steps to resist any such disclosure.</w:t>
      </w:r>
    </w:p>
    <w:p w:rsidR="00817DA9" w:rsidRDefault="00817DA9" w:rsidP="00A36D33">
      <w:pPr>
        <w:pStyle w:val="ListParagraph"/>
        <w:tabs>
          <w:tab w:val="left" w:pos="567"/>
        </w:tabs>
        <w:spacing w:before="100" w:beforeAutospacing="1" w:after="100" w:afterAutospacing="1" w:line="240" w:lineRule="auto"/>
        <w:ind w:left="0"/>
        <w:jc w:val="both"/>
        <w:rPr>
          <w:rFonts w:cstheme="minorHAnsi"/>
          <w:color w:val="000000" w:themeColor="text1"/>
          <w:sz w:val="20"/>
          <w:szCs w:val="20"/>
        </w:rPr>
      </w:pPr>
    </w:p>
    <w:p w:rsidR="005B15B8" w:rsidRDefault="005B15B8">
      <w:pPr>
        <w:spacing w:after="0" w:line="240" w:lineRule="auto"/>
        <w:rPr>
          <w:rFonts w:cstheme="minorHAnsi"/>
          <w:b/>
          <w:color w:val="002060"/>
          <w:sz w:val="24"/>
          <w:szCs w:val="20"/>
        </w:rPr>
      </w:pPr>
      <w:r>
        <w:rPr>
          <w:rFonts w:cstheme="minorHAnsi"/>
          <w:b/>
          <w:color w:val="002060"/>
          <w:sz w:val="24"/>
          <w:szCs w:val="20"/>
        </w:rPr>
        <w:br w:type="page"/>
      </w:r>
    </w:p>
    <w:p w:rsidR="002218DF" w:rsidRPr="00DC7D57" w:rsidRDefault="00E44B9B" w:rsidP="00A36D33">
      <w:pPr>
        <w:pStyle w:val="ListParagraph"/>
        <w:tabs>
          <w:tab w:val="left" w:pos="567"/>
        </w:tabs>
        <w:spacing w:line="240" w:lineRule="auto"/>
        <w:ind w:left="0"/>
        <w:jc w:val="both"/>
        <w:rPr>
          <w:rFonts w:cstheme="minorHAnsi"/>
          <w:b/>
          <w:color w:val="002060"/>
          <w:sz w:val="24"/>
          <w:szCs w:val="20"/>
        </w:rPr>
      </w:pPr>
      <w:r w:rsidRPr="00DC7D57">
        <w:rPr>
          <w:rFonts w:cstheme="minorHAnsi"/>
          <w:b/>
          <w:color w:val="002060"/>
          <w:sz w:val="24"/>
          <w:szCs w:val="20"/>
        </w:rPr>
        <w:lastRenderedPageBreak/>
        <w:t>8</w:t>
      </w:r>
      <w:r w:rsidR="002218DF" w:rsidRPr="00DC7D57">
        <w:rPr>
          <w:rFonts w:cstheme="minorHAnsi"/>
          <w:b/>
          <w:color w:val="002060"/>
          <w:sz w:val="24"/>
          <w:szCs w:val="20"/>
        </w:rPr>
        <w:t xml:space="preserve">. </w:t>
      </w:r>
      <w:r w:rsidR="005B15B8">
        <w:rPr>
          <w:rFonts w:cstheme="minorHAnsi"/>
          <w:b/>
          <w:color w:val="002060"/>
          <w:sz w:val="24"/>
          <w:szCs w:val="20"/>
        </w:rPr>
        <w:t>General Provision of Services</w:t>
      </w:r>
    </w:p>
    <w:p w:rsidR="005B15B8" w:rsidRPr="00683C70" w:rsidRDefault="00E44B9B" w:rsidP="00BF0D4C">
      <w:pPr>
        <w:pStyle w:val="ListParagraph"/>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w:t>
      </w:r>
      <w:r w:rsidR="002218DF" w:rsidRPr="00683C70">
        <w:rPr>
          <w:rFonts w:cstheme="minorHAnsi"/>
          <w:color w:val="000000" w:themeColor="text1"/>
          <w:sz w:val="20"/>
          <w:szCs w:val="20"/>
        </w:rPr>
        <w:t>.1</w:t>
      </w:r>
      <w:r w:rsidR="002218DF" w:rsidRPr="00683C70">
        <w:rPr>
          <w:rFonts w:cstheme="minorHAnsi"/>
          <w:color w:val="000000" w:themeColor="text1"/>
          <w:sz w:val="20"/>
          <w:szCs w:val="20"/>
        </w:rPr>
        <w:tab/>
      </w:r>
      <w:r w:rsidR="005B15B8" w:rsidRPr="00683C70">
        <w:rPr>
          <w:rFonts w:cstheme="minorHAnsi"/>
          <w:color w:val="000000" w:themeColor="text1"/>
          <w:sz w:val="20"/>
          <w:szCs w:val="20"/>
        </w:rPr>
        <w:t>Data Centre Security</w:t>
      </w:r>
      <w:r w:rsidR="00BF0D4C" w:rsidRPr="00683C70">
        <w:rPr>
          <w:rFonts w:cstheme="minorHAnsi"/>
          <w:color w:val="000000" w:themeColor="text1"/>
          <w:sz w:val="20"/>
          <w:szCs w:val="20"/>
        </w:rPr>
        <w:t>.   Perimeter fencing with electric gates, access via photo swipe card system, CCTV with 24</w:t>
      </w:r>
      <w:r w:rsidR="0012539D" w:rsidRPr="00683C70">
        <w:rPr>
          <w:rFonts w:cstheme="minorHAnsi"/>
          <w:color w:val="000000" w:themeColor="text1"/>
          <w:sz w:val="20"/>
          <w:szCs w:val="20"/>
        </w:rPr>
        <w:t>-</w:t>
      </w:r>
      <w:r w:rsidR="00BF0D4C" w:rsidRPr="00683C70">
        <w:rPr>
          <w:rFonts w:cstheme="minorHAnsi"/>
          <w:color w:val="000000" w:themeColor="text1"/>
          <w:sz w:val="20"/>
          <w:szCs w:val="20"/>
        </w:rPr>
        <w:t xml:space="preserve">hour </w:t>
      </w:r>
      <w:r w:rsidR="00877BEC" w:rsidRPr="00683C70">
        <w:rPr>
          <w:rFonts w:cstheme="minorHAnsi"/>
          <w:color w:val="000000" w:themeColor="text1"/>
          <w:sz w:val="20"/>
          <w:szCs w:val="20"/>
        </w:rPr>
        <w:t xml:space="preserve"> </w:t>
      </w:r>
      <w:r w:rsidR="0039407C" w:rsidRPr="00683C70">
        <w:rPr>
          <w:rFonts w:cstheme="minorHAnsi"/>
          <w:color w:val="000000" w:themeColor="text1"/>
          <w:sz w:val="20"/>
          <w:szCs w:val="20"/>
        </w:rPr>
        <w:t xml:space="preserve"> </w:t>
      </w:r>
      <w:r w:rsidR="00BF0D4C" w:rsidRPr="00683C70">
        <w:rPr>
          <w:rFonts w:cstheme="minorHAnsi"/>
          <w:color w:val="000000" w:themeColor="text1"/>
          <w:sz w:val="20"/>
          <w:szCs w:val="20"/>
        </w:rPr>
        <w:t>recording both external and internal to the data centre, Access control procedure, staff on-site 24 hours a day.</w:t>
      </w:r>
    </w:p>
    <w:p w:rsidR="005B15B8" w:rsidRPr="00683C70" w:rsidRDefault="00E44B9B" w:rsidP="002E5EBA">
      <w:pPr>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8.2</w:t>
      </w:r>
      <w:r w:rsidR="00000C8D" w:rsidRPr="00683C70">
        <w:rPr>
          <w:rFonts w:cstheme="minorHAnsi"/>
          <w:color w:val="000000" w:themeColor="text1"/>
          <w:sz w:val="20"/>
          <w:szCs w:val="20"/>
        </w:rPr>
        <w:tab/>
      </w:r>
      <w:r w:rsidR="005B15B8" w:rsidRPr="00683C70">
        <w:rPr>
          <w:rFonts w:cstheme="minorHAnsi"/>
          <w:color w:val="000000" w:themeColor="text1"/>
          <w:sz w:val="20"/>
          <w:szCs w:val="20"/>
        </w:rPr>
        <w:t>Support</w:t>
      </w:r>
      <w:r w:rsidR="00766E32" w:rsidRPr="00683C70">
        <w:rPr>
          <w:rFonts w:cstheme="minorHAnsi"/>
          <w:color w:val="000000" w:themeColor="text1"/>
          <w:sz w:val="20"/>
          <w:szCs w:val="20"/>
        </w:rPr>
        <w:t xml:space="preserve"> &amp; Server Monitoring</w:t>
      </w:r>
      <w:r w:rsidR="005E382B" w:rsidRPr="00683C70">
        <w:rPr>
          <w:rFonts w:cstheme="minorHAnsi"/>
          <w:color w:val="000000" w:themeColor="text1"/>
          <w:sz w:val="20"/>
          <w:szCs w:val="20"/>
        </w:rPr>
        <w:t xml:space="preserve">.  </w:t>
      </w:r>
      <w:r w:rsidR="002E5EBA" w:rsidRPr="00683C70">
        <w:rPr>
          <w:rFonts w:cstheme="minorHAnsi"/>
          <w:color w:val="000000" w:themeColor="text1"/>
          <w:sz w:val="20"/>
          <w:szCs w:val="20"/>
        </w:rPr>
        <w:t xml:space="preserve">To report any server related issue, email </w:t>
      </w:r>
      <w:hyperlink r:id="rId11" w:history="1">
        <w:r w:rsidR="002E5EBA" w:rsidRPr="00683C70">
          <w:rPr>
            <w:rStyle w:val="Hyperlink"/>
            <w:rFonts w:cstheme="minorHAnsi"/>
            <w:color w:val="000000" w:themeColor="text1"/>
            <w:sz w:val="20"/>
            <w:szCs w:val="20"/>
          </w:rPr>
          <w:t>support@solutionsinit.com</w:t>
        </w:r>
      </w:hyperlink>
      <w:r w:rsidR="002E5EBA" w:rsidRPr="00683C70">
        <w:rPr>
          <w:rFonts w:cstheme="minorHAnsi"/>
          <w:color w:val="000000" w:themeColor="text1"/>
          <w:sz w:val="20"/>
          <w:szCs w:val="20"/>
        </w:rPr>
        <w:t xml:space="preserve"> or </w:t>
      </w:r>
      <w:r w:rsidR="002E5EBA" w:rsidRPr="00683C70">
        <w:rPr>
          <w:rFonts w:cstheme="minorHAnsi"/>
          <w:b/>
          <w:color w:val="000000" w:themeColor="text1"/>
          <w:sz w:val="20"/>
          <w:szCs w:val="20"/>
        </w:rPr>
        <w:t>01858 414 238</w:t>
      </w:r>
      <w:r w:rsidR="00054B84" w:rsidRPr="00683C70">
        <w:rPr>
          <w:rFonts w:cstheme="minorHAnsi"/>
          <w:b/>
          <w:color w:val="000000" w:themeColor="text1"/>
          <w:sz w:val="20"/>
          <w:szCs w:val="20"/>
        </w:rPr>
        <w:t xml:space="preserve"> or 0845 009 4588</w:t>
      </w:r>
      <w:r w:rsidR="002E5EBA" w:rsidRPr="00683C70">
        <w:rPr>
          <w:rFonts w:cstheme="minorHAnsi"/>
          <w:b/>
          <w:color w:val="000000" w:themeColor="text1"/>
          <w:sz w:val="20"/>
          <w:szCs w:val="20"/>
        </w:rPr>
        <w:t xml:space="preserve">.  </w:t>
      </w:r>
      <w:r w:rsidR="00054B84" w:rsidRPr="00683C70">
        <w:rPr>
          <w:rFonts w:cstheme="minorHAnsi"/>
          <w:color w:val="000000" w:themeColor="text1"/>
          <w:sz w:val="20"/>
          <w:szCs w:val="20"/>
        </w:rPr>
        <w:t xml:space="preserve">Emailing </w:t>
      </w:r>
      <w:r w:rsidR="002E5EBA" w:rsidRPr="00683C70">
        <w:rPr>
          <w:rFonts w:cstheme="minorHAnsi"/>
          <w:color w:val="000000" w:themeColor="text1"/>
          <w:sz w:val="20"/>
          <w:szCs w:val="20"/>
        </w:rPr>
        <w:t>will automatically invoke a ticket on FreshDesk, the Solutions in I.T. support</w:t>
      </w:r>
      <w:r w:rsidR="0012539D" w:rsidRPr="00683C70">
        <w:rPr>
          <w:rFonts w:cstheme="minorHAnsi"/>
          <w:color w:val="000000" w:themeColor="text1"/>
          <w:sz w:val="20"/>
          <w:szCs w:val="20"/>
        </w:rPr>
        <w:t xml:space="preserve"> management</w:t>
      </w:r>
      <w:r w:rsidR="002E5EBA" w:rsidRPr="00683C70">
        <w:rPr>
          <w:rFonts w:cstheme="minorHAnsi"/>
          <w:color w:val="000000" w:themeColor="text1"/>
          <w:sz w:val="20"/>
          <w:szCs w:val="20"/>
        </w:rPr>
        <w:t xml:space="preserve"> system.  Support tickets are reviewed and actioned within the working hours of </w:t>
      </w:r>
      <w:r w:rsidR="00054B84" w:rsidRPr="00683C70">
        <w:rPr>
          <w:rFonts w:cstheme="minorHAnsi"/>
          <w:b/>
          <w:color w:val="000000" w:themeColor="text1"/>
          <w:sz w:val="20"/>
          <w:szCs w:val="20"/>
        </w:rPr>
        <w:t>8</w:t>
      </w:r>
      <w:r w:rsidR="002E5EBA" w:rsidRPr="00683C70">
        <w:rPr>
          <w:rFonts w:cstheme="minorHAnsi"/>
          <w:b/>
          <w:color w:val="000000" w:themeColor="text1"/>
          <w:sz w:val="20"/>
          <w:szCs w:val="20"/>
        </w:rPr>
        <w:t>am to 5pm</w:t>
      </w:r>
      <w:r w:rsidR="002E5EBA" w:rsidRPr="00683C70">
        <w:rPr>
          <w:rFonts w:cstheme="minorHAnsi"/>
          <w:color w:val="000000" w:themeColor="text1"/>
          <w:sz w:val="20"/>
          <w:szCs w:val="20"/>
        </w:rPr>
        <w:t xml:space="preserve"> (BST).</w:t>
      </w:r>
      <w:r w:rsidR="00BB4B7C" w:rsidRPr="00683C70">
        <w:rPr>
          <w:rFonts w:cstheme="minorHAnsi"/>
          <w:color w:val="000000" w:themeColor="text1"/>
          <w:sz w:val="20"/>
          <w:szCs w:val="20"/>
        </w:rPr>
        <w:t xml:space="preserve">  Notifications received after </w:t>
      </w:r>
      <w:r w:rsidR="00004CC5" w:rsidRPr="00683C70">
        <w:rPr>
          <w:rFonts w:cstheme="minorHAnsi"/>
          <w:color w:val="000000" w:themeColor="text1"/>
          <w:sz w:val="20"/>
          <w:szCs w:val="20"/>
        </w:rPr>
        <w:t>4pm will be deemed received the following working day</w:t>
      </w:r>
      <w:r w:rsidR="008343B8" w:rsidRPr="00683C70">
        <w:rPr>
          <w:rFonts w:cstheme="minorHAnsi"/>
          <w:color w:val="000000" w:themeColor="text1"/>
          <w:sz w:val="20"/>
          <w:szCs w:val="20"/>
        </w:rPr>
        <w:t xml:space="preserve"> for service level response</w:t>
      </w:r>
      <w:r w:rsidR="00004CC5" w:rsidRPr="00683C70">
        <w:rPr>
          <w:rFonts w:cstheme="minorHAnsi"/>
          <w:color w:val="000000" w:themeColor="text1"/>
          <w:sz w:val="20"/>
          <w:szCs w:val="20"/>
        </w:rPr>
        <w:t>.</w:t>
      </w:r>
      <w:r w:rsidR="00766E32" w:rsidRPr="00683C70">
        <w:rPr>
          <w:rFonts w:cstheme="minorHAnsi"/>
          <w:color w:val="000000" w:themeColor="text1"/>
          <w:sz w:val="20"/>
          <w:szCs w:val="20"/>
        </w:rPr>
        <w:t xml:space="preserve">    </w:t>
      </w:r>
      <w:r w:rsidR="003C3E2A" w:rsidRPr="00683C70">
        <w:rPr>
          <w:rFonts w:cstheme="minorHAnsi"/>
          <w:color w:val="000000" w:themeColor="text1"/>
          <w:sz w:val="20"/>
          <w:szCs w:val="20"/>
        </w:rPr>
        <w:t xml:space="preserve">Node4 </w:t>
      </w:r>
      <w:r w:rsidR="008343B8" w:rsidRPr="00683C70">
        <w:rPr>
          <w:rFonts w:cstheme="minorHAnsi"/>
          <w:color w:val="000000" w:themeColor="text1"/>
          <w:sz w:val="20"/>
          <w:szCs w:val="20"/>
        </w:rPr>
        <w:t xml:space="preserve">staff </w:t>
      </w:r>
      <w:r w:rsidR="003C3E2A" w:rsidRPr="00683C70">
        <w:rPr>
          <w:rFonts w:cstheme="minorHAnsi"/>
          <w:color w:val="000000" w:themeColor="text1"/>
          <w:sz w:val="20"/>
          <w:szCs w:val="20"/>
        </w:rPr>
        <w:t xml:space="preserve">will monitor the Node4 infrastructure via the Node4 monitoring system to provide proactive fault management, this </w:t>
      </w:r>
      <w:r w:rsidR="008343B8" w:rsidRPr="00683C70">
        <w:rPr>
          <w:rFonts w:cstheme="minorHAnsi"/>
          <w:color w:val="000000" w:themeColor="text1"/>
          <w:sz w:val="20"/>
          <w:szCs w:val="20"/>
        </w:rPr>
        <w:t>“a</w:t>
      </w:r>
      <w:r w:rsidR="003C3E2A" w:rsidRPr="00683C70">
        <w:rPr>
          <w:rFonts w:cstheme="minorHAnsi"/>
          <w:color w:val="000000" w:themeColor="text1"/>
          <w:sz w:val="20"/>
          <w:szCs w:val="20"/>
        </w:rPr>
        <w:t>round the clock</w:t>
      </w:r>
      <w:r w:rsidR="008343B8" w:rsidRPr="00683C70">
        <w:rPr>
          <w:rFonts w:cstheme="minorHAnsi"/>
          <w:color w:val="000000" w:themeColor="text1"/>
          <w:sz w:val="20"/>
          <w:szCs w:val="20"/>
        </w:rPr>
        <w:t>”</w:t>
      </w:r>
      <w:r w:rsidR="003C3E2A" w:rsidRPr="00683C70">
        <w:rPr>
          <w:rFonts w:cstheme="minorHAnsi"/>
          <w:color w:val="000000" w:themeColor="text1"/>
          <w:sz w:val="20"/>
          <w:szCs w:val="20"/>
        </w:rPr>
        <w:t xml:space="preserve"> service focusses </w:t>
      </w:r>
      <w:r w:rsidR="00F70979" w:rsidRPr="00683C70">
        <w:rPr>
          <w:rFonts w:cstheme="minorHAnsi"/>
          <w:color w:val="000000" w:themeColor="text1"/>
          <w:sz w:val="20"/>
          <w:szCs w:val="20"/>
        </w:rPr>
        <w:t>on device</w:t>
      </w:r>
      <w:r w:rsidR="00766E32" w:rsidRPr="00683C70">
        <w:rPr>
          <w:rFonts w:cstheme="minorHAnsi"/>
          <w:color w:val="000000" w:themeColor="text1"/>
          <w:sz w:val="20"/>
          <w:szCs w:val="20"/>
        </w:rPr>
        <w:t xml:space="preserve"> response time/device availability, interface statistics (utilisation &amp; errors), CPU and memory usage</w:t>
      </w:r>
      <w:r w:rsidR="008343B8" w:rsidRPr="00683C70">
        <w:rPr>
          <w:rFonts w:cstheme="minorHAnsi"/>
          <w:color w:val="000000" w:themeColor="text1"/>
          <w:sz w:val="20"/>
          <w:szCs w:val="20"/>
        </w:rPr>
        <w:t xml:space="preserve"> and key service availability</w:t>
      </w:r>
      <w:r w:rsidR="00766E32" w:rsidRPr="00683C70">
        <w:rPr>
          <w:rFonts w:cstheme="minorHAnsi"/>
          <w:color w:val="000000" w:themeColor="text1"/>
          <w:sz w:val="20"/>
          <w:szCs w:val="20"/>
        </w:rPr>
        <w:t>.</w:t>
      </w:r>
    </w:p>
    <w:p w:rsidR="005B15B8" w:rsidRPr="00683C70" w:rsidRDefault="005B15B8" w:rsidP="004E160B">
      <w:pPr>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8.3</w:t>
      </w:r>
      <w:r w:rsidRPr="00683C70">
        <w:rPr>
          <w:rFonts w:cstheme="minorHAnsi"/>
          <w:color w:val="000000" w:themeColor="text1"/>
          <w:sz w:val="20"/>
          <w:szCs w:val="20"/>
        </w:rPr>
        <w:tab/>
        <w:t>Maintenance &amp; Planned Outage</w:t>
      </w:r>
      <w:r w:rsidR="00766E32" w:rsidRPr="00683C70">
        <w:rPr>
          <w:rFonts w:cstheme="minorHAnsi"/>
          <w:color w:val="000000" w:themeColor="text1"/>
          <w:sz w:val="20"/>
          <w:szCs w:val="20"/>
        </w:rPr>
        <w:t xml:space="preserve">.  </w:t>
      </w:r>
      <w:r w:rsidR="004E160B" w:rsidRPr="00683C70">
        <w:rPr>
          <w:rFonts w:cstheme="minorHAnsi"/>
          <w:color w:val="000000" w:themeColor="text1"/>
          <w:sz w:val="20"/>
          <w:szCs w:val="20"/>
        </w:rPr>
        <w:t>Where Node4 plans to perform essential works and the changes are service affecting, Node4 will use reasonable endeavours to perform such works between the hours of 00:00 and 04:00 and will use reasonable endeavours to give the customer at least 5 working days prior notice for network related work and at least 10 working days prior notice for infrastructure related work.  In the event of an emergency or service affecting incident such notice may be less that 24 hours.  This is without prejudice to or limitation of the definition of Planned Outage.</w:t>
      </w:r>
    </w:p>
    <w:p w:rsidR="005B15B8" w:rsidRPr="00683C70" w:rsidRDefault="005B15B8" w:rsidP="00331C01">
      <w:pPr>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8.4</w:t>
      </w:r>
      <w:r w:rsidRPr="00683C70">
        <w:rPr>
          <w:rFonts w:cstheme="minorHAnsi"/>
          <w:color w:val="000000" w:themeColor="text1"/>
          <w:sz w:val="20"/>
          <w:szCs w:val="20"/>
        </w:rPr>
        <w:tab/>
        <w:t>Remote Back-up</w:t>
      </w:r>
      <w:r w:rsidR="003C3E2A" w:rsidRPr="00683C70">
        <w:rPr>
          <w:rFonts w:cstheme="minorHAnsi"/>
          <w:color w:val="000000" w:themeColor="text1"/>
          <w:sz w:val="20"/>
          <w:szCs w:val="20"/>
        </w:rPr>
        <w:t xml:space="preserve"> Management &amp; Recovery.  </w:t>
      </w:r>
      <w:r w:rsidR="00331C01" w:rsidRPr="00683C70">
        <w:rPr>
          <w:rFonts w:cstheme="minorHAnsi"/>
          <w:color w:val="000000" w:themeColor="text1"/>
          <w:sz w:val="20"/>
          <w:szCs w:val="20"/>
        </w:rPr>
        <w:t xml:space="preserve">  </w:t>
      </w:r>
      <w:r w:rsidR="00095726" w:rsidRPr="00683C70">
        <w:rPr>
          <w:rFonts w:cstheme="minorHAnsi"/>
          <w:color w:val="000000" w:themeColor="text1"/>
          <w:sz w:val="20"/>
          <w:szCs w:val="20"/>
        </w:rPr>
        <w:t>We</w:t>
      </w:r>
      <w:r w:rsidR="00331C01" w:rsidRPr="00683C70">
        <w:rPr>
          <w:rFonts w:cstheme="minorHAnsi"/>
          <w:color w:val="000000" w:themeColor="text1"/>
          <w:sz w:val="20"/>
          <w:szCs w:val="20"/>
        </w:rPr>
        <w:t xml:space="preserve"> will set up automated monitoring of the back-up.  In the event that the backup fails a ticket is generated automatically and the reason will be </w:t>
      </w:r>
      <w:r w:rsidR="00095726" w:rsidRPr="00683C70">
        <w:rPr>
          <w:rFonts w:cstheme="minorHAnsi"/>
          <w:color w:val="000000" w:themeColor="text1"/>
          <w:sz w:val="20"/>
          <w:szCs w:val="20"/>
        </w:rPr>
        <w:t>investigated,</w:t>
      </w:r>
      <w:r w:rsidR="00331C01" w:rsidRPr="00683C70">
        <w:rPr>
          <w:rFonts w:cstheme="minorHAnsi"/>
          <w:color w:val="000000" w:themeColor="text1"/>
          <w:sz w:val="20"/>
          <w:szCs w:val="20"/>
        </w:rPr>
        <w:t xml:space="preserve"> and </w:t>
      </w:r>
      <w:r w:rsidR="00095726" w:rsidRPr="00683C70">
        <w:rPr>
          <w:rFonts w:cstheme="minorHAnsi"/>
          <w:color w:val="000000" w:themeColor="text1"/>
          <w:sz w:val="20"/>
          <w:szCs w:val="20"/>
        </w:rPr>
        <w:t xml:space="preserve">another </w:t>
      </w:r>
      <w:r w:rsidR="00331C01" w:rsidRPr="00683C70">
        <w:rPr>
          <w:rFonts w:cstheme="minorHAnsi"/>
          <w:color w:val="000000" w:themeColor="text1"/>
          <w:sz w:val="20"/>
          <w:szCs w:val="20"/>
        </w:rPr>
        <w:t>back-up re</w:t>
      </w:r>
      <w:r w:rsidR="00095726" w:rsidRPr="00683C70">
        <w:rPr>
          <w:rFonts w:cstheme="minorHAnsi"/>
          <w:color w:val="000000" w:themeColor="text1"/>
          <w:sz w:val="20"/>
          <w:szCs w:val="20"/>
        </w:rPr>
        <w:t>-</w:t>
      </w:r>
      <w:r w:rsidR="00331C01" w:rsidRPr="00683C70">
        <w:rPr>
          <w:rFonts w:cstheme="minorHAnsi"/>
          <w:color w:val="000000" w:themeColor="text1"/>
          <w:sz w:val="20"/>
          <w:szCs w:val="20"/>
        </w:rPr>
        <w:t>run</w:t>
      </w:r>
      <w:r w:rsidR="00095726" w:rsidRPr="00683C70">
        <w:rPr>
          <w:rFonts w:cstheme="minorHAnsi"/>
          <w:color w:val="000000" w:themeColor="text1"/>
          <w:sz w:val="20"/>
          <w:szCs w:val="20"/>
        </w:rPr>
        <w:t xml:space="preserve"> at the earliest opportunity</w:t>
      </w:r>
      <w:r w:rsidR="00331C01" w:rsidRPr="00683C70">
        <w:rPr>
          <w:rFonts w:cstheme="minorHAnsi"/>
          <w:color w:val="000000" w:themeColor="text1"/>
          <w:sz w:val="20"/>
          <w:szCs w:val="20"/>
        </w:rPr>
        <w:t xml:space="preserve">.  </w:t>
      </w:r>
      <w:r w:rsidR="00095726" w:rsidRPr="00683C70">
        <w:rPr>
          <w:rFonts w:cstheme="minorHAnsi"/>
          <w:color w:val="000000" w:themeColor="text1"/>
          <w:sz w:val="20"/>
          <w:szCs w:val="20"/>
        </w:rPr>
        <w:t>Solutions in I.T. can</w:t>
      </w:r>
      <w:r w:rsidR="00331C01" w:rsidRPr="00683C70">
        <w:rPr>
          <w:rFonts w:cstheme="minorHAnsi"/>
          <w:color w:val="000000" w:themeColor="text1"/>
          <w:sz w:val="20"/>
          <w:szCs w:val="20"/>
        </w:rPr>
        <w:t xml:space="preserve">not guarantee that every back-up </w:t>
      </w:r>
      <w:r w:rsidR="00095726" w:rsidRPr="00683C70">
        <w:rPr>
          <w:rFonts w:cstheme="minorHAnsi"/>
          <w:color w:val="000000" w:themeColor="text1"/>
          <w:sz w:val="20"/>
          <w:szCs w:val="20"/>
        </w:rPr>
        <w:t>will run without issue</w:t>
      </w:r>
      <w:r w:rsidR="008343B8" w:rsidRPr="00683C70">
        <w:rPr>
          <w:rFonts w:cstheme="minorHAnsi"/>
          <w:color w:val="000000" w:themeColor="text1"/>
          <w:sz w:val="20"/>
          <w:szCs w:val="20"/>
        </w:rPr>
        <w:t>,</w:t>
      </w:r>
      <w:r w:rsidR="00095726" w:rsidRPr="00683C70">
        <w:rPr>
          <w:rFonts w:cstheme="minorHAnsi"/>
          <w:color w:val="000000" w:themeColor="text1"/>
          <w:sz w:val="20"/>
          <w:szCs w:val="20"/>
        </w:rPr>
        <w:t xml:space="preserve"> but it will be monitored daily and rectified at the earliest opportunity</w:t>
      </w:r>
      <w:r w:rsidR="00331C01" w:rsidRPr="00683C70">
        <w:rPr>
          <w:rFonts w:cstheme="minorHAnsi"/>
          <w:color w:val="000000" w:themeColor="text1"/>
          <w:sz w:val="20"/>
          <w:szCs w:val="20"/>
        </w:rPr>
        <w:t>.  It is possible under normal conditions to recover individual items of data without the need to restore the whole dataset.</w:t>
      </w:r>
    </w:p>
    <w:p w:rsidR="005B15B8" w:rsidRPr="00683C70" w:rsidRDefault="005B15B8" w:rsidP="00F70979">
      <w:pPr>
        <w:pStyle w:val="ListParagraph"/>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8.5</w:t>
      </w:r>
      <w:r w:rsidRPr="00683C70">
        <w:rPr>
          <w:rFonts w:cstheme="minorHAnsi"/>
          <w:color w:val="000000" w:themeColor="text1"/>
          <w:sz w:val="20"/>
          <w:szCs w:val="20"/>
        </w:rPr>
        <w:tab/>
        <w:t>Capacity Management &amp; Software Patching</w:t>
      </w:r>
      <w:r w:rsidR="00A75D1B" w:rsidRPr="00683C70">
        <w:rPr>
          <w:rFonts w:cstheme="minorHAnsi"/>
          <w:color w:val="000000" w:themeColor="text1"/>
          <w:sz w:val="20"/>
          <w:szCs w:val="20"/>
        </w:rPr>
        <w:t xml:space="preserve">.  </w:t>
      </w:r>
      <w:r w:rsidR="008343B8" w:rsidRPr="00683C70">
        <w:rPr>
          <w:rFonts w:cstheme="minorHAnsi"/>
          <w:color w:val="000000" w:themeColor="text1"/>
          <w:sz w:val="20"/>
          <w:szCs w:val="20"/>
        </w:rPr>
        <w:t xml:space="preserve">Our </w:t>
      </w:r>
      <w:r w:rsidR="00F70979" w:rsidRPr="00683C70">
        <w:rPr>
          <w:rFonts w:cstheme="minorHAnsi"/>
          <w:color w:val="000000" w:themeColor="text1"/>
          <w:sz w:val="20"/>
          <w:szCs w:val="20"/>
        </w:rPr>
        <w:t>N</w:t>
      </w:r>
      <w:r w:rsidR="00A75D1B" w:rsidRPr="00683C70">
        <w:rPr>
          <w:rFonts w:cstheme="minorHAnsi"/>
          <w:color w:val="000000" w:themeColor="text1"/>
          <w:sz w:val="20"/>
          <w:szCs w:val="20"/>
        </w:rPr>
        <w:t xml:space="preserve">ode4 </w:t>
      </w:r>
      <w:r w:rsidR="008343B8" w:rsidRPr="00683C70">
        <w:rPr>
          <w:rFonts w:cstheme="minorHAnsi"/>
          <w:color w:val="000000" w:themeColor="text1"/>
          <w:sz w:val="20"/>
          <w:szCs w:val="20"/>
        </w:rPr>
        <w:t xml:space="preserve">partners </w:t>
      </w:r>
      <w:r w:rsidR="00A75D1B" w:rsidRPr="00683C70">
        <w:rPr>
          <w:rFonts w:cstheme="minorHAnsi"/>
          <w:color w:val="000000" w:themeColor="text1"/>
          <w:sz w:val="20"/>
          <w:szCs w:val="20"/>
        </w:rPr>
        <w:t>will man</w:t>
      </w:r>
      <w:r w:rsidR="00F70979" w:rsidRPr="00683C70">
        <w:rPr>
          <w:rFonts w:cstheme="minorHAnsi"/>
          <w:color w:val="000000" w:themeColor="text1"/>
          <w:sz w:val="20"/>
          <w:szCs w:val="20"/>
        </w:rPr>
        <w:t>a</w:t>
      </w:r>
      <w:r w:rsidR="00A75D1B" w:rsidRPr="00683C70">
        <w:rPr>
          <w:rFonts w:cstheme="minorHAnsi"/>
          <w:color w:val="000000" w:themeColor="text1"/>
          <w:sz w:val="20"/>
          <w:szCs w:val="20"/>
        </w:rPr>
        <w:t>ge the infrastructure to ensure that there is sufficient capacity to meet service availability targets</w:t>
      </w:r>
      <w:r w:rsidR="00F70979" w:rsidRPr="00683C70">
        <w:rPr>
          <w:rFonts w:cstheme="minorHAnsi"/>
          <w:color w:val="000000" w:themeColor="text1"/>
          <w:sz w:val="20"/>
          <w:szCs w:val="20"/>
        </w:rPr>
        <w:t>.  The EMiR support team will advise the end user when additional storage, processors and RAM are required.  Node4 will be responsible during the maintenance window for operating system patching, some of which may require system rebooting.  (where multiple servers are employed these will be rebooted separately)</w:t>
      </w:r>
      <w:r w:rsidR="006D6E35" w:rsidRPr="00683C70">
        <w:rPr>
          <w:rFonts w:cstheme="minorHAnsi"/>
          <w:color w:val="000000" w:themeColor="text1"/>
          <w:sz w:val="20"/>
          <w:szCs w:val="20"/>
        </w:rPr>
        <w:t>.</w:t>
      </w:r>
      <w:r w:rsidR="00F70979" w:rsidRPr="00683C70">
        <w:rPr>
          <w:rFonts w:cstheme="minorHAnsi"/>
          <w:color w:val="000000" w:themeColor="text1"/>
          <w:sz w:val="20"/>
          <w:szCs w:val="20"/>
        </w:rPr>
        <w:t xml:space="preserve"> </w:t>
      </w:r>
    </w:p>
    <w:p w:rsidR="005B15B8" w:rsidRPr="00683C70" w:rsidRDefault="005B15B8" w:rsidP="00C571F3">
      <w:pPr>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8.6</w:t>
      </w:r>
      <w:r w:rsidRPr="00683C70">
        <w:rPr>
          <w:rFonts w:cstheme="minorHAnsi"/>
          <w:color w:val="000000" w:themeColor="text1"/>
          <w:sz w:val="20"/>
          <w:szCs w:val="20"/>
        </w:rPr>
        <w:tab/>
        <w:t>Incident Management</w:t>
      </w:r>
      <w:r w:rsidR="00F70979" w:rsidRPr="00683C70">
        <w:rPr>
          <w:rFonts w:cstheme="minorHAnsi"/>
          <w:color w:val="000000" w:themeColor="text1"/>
          <w:sz w:val="20"/>
          <w:szCs w:val="20"/>
        </w:rPr>
        <w:t xml:space="preserve">.  </w:t>
      </w:r>
      <w:r w:rsidR="00C571F3" w:rsidRPr="00683C70">
        <w:rPr>
          <w:rFonts w:cstheme="minorHAnsi"/>
          <w:color w:val="000000" w:themeColor="text1"/>
          <w:sz w:val="20"/>
          <w:szCs w:val="20"/>
        </w:rPr>
        <w:t xml:space="preserve">  </w:t>
      </w:r>
      <w:r w:rsidR="008343B8" w:rsidRPr="00683C70">
        <w:rPr>
          <w:rFonts w:cstheme="minorHAnsi"/>
          <w:color w:val="000000" w:themeColor="text1"/>
          <w:sz w:val="20"/>
          <w:szCs w:val="20"/>
        </w:rPr>
        <w:t xml:space="preserve">Solutions in I.T and their </w:t>
      </w:r>
      <w:r w:rsidR="00C571F3" w:rsidRPr="00683C70">
        <w:rPr>
          <w:rFonts w:cstheme="minorHAnsi"/>
          <w:color w:val="000000" w:themeColor="text1"/>
          <w:sz w:val="20"/>
          <w:szCs w:val="20"/>
        </w:rPr>
        <w:t xml:space="preserve">Node4 </w:t>
      </w:r>
      <w:r w:rsidR="008343B8" w:rsidRPr="00683C70">
        <w:rPr>
          <w:rFonts w:cstheme="minorHAnsi"/>
          <w:color w:val="000000" w:themeColor="text1"/>
          <w:sz w:val="20"/>
          <w:szCs w:val="20"/>
        </w:rPr>
        <w:t xml:space="preserve">partners </w:t>
      </w:r>
      <w:r w:rsidR="00C571F3" w:rsidRPr="00683C70">
        <w:rPr>
          <w:rFonts w:cstheme="minorHAnsi"/>
          <w:color w:val="000000" w:themeColor="text1"/>
          <w:sz w:val="20"/>
          <w:szCs w:val="20"/>
        </w:rPr>
        <w:t xml:space="preserve">will investigate and take reasonable commercial measures to resolve any service failure caused by </w:t>
      </w:r>
      <w:r w:rsidR="00137517" w:rsidRPr="00683C70">
        <w:rPr>
          <w:rFonts w:cstheme="minorHAnsi"/>
          <w:color w:val="000000" w:themeColor="text1"/>
          <w:sz w:val="20"/>
          <w:szCs w:val="20"/>
        </w:rPr>
        <w:t xml:space="preserve">the EMiR-Cloud solution hosted on the </w:t>
      </w:r>
      <w:r w:rsidR="00C571F3" w:rsidRPr="00683C70">
        <w:rPr>
          <w:rFonts w:cstheme="minorHAnsi"/>
          <w:color w:val="000000" w:themeColor="text1"/>
          <w:sz w:val="20"/>
          <w:szCs w:val="20"/>
        </w:rPr>
        <w:t>Node4 infrastructure.  Incidents will be dealt with as described in table 2.1 of this document, priorities and service levels.</w:t>
      </w:r>
    </w:p>
    <w:p w:rsidR="005B15B8" w:rsidRPr="00683C70" w:rsidRDefault="005B15B8" w:rsidP="009D09E1">
      <w:pPr>
        <w:tabs>
          <w:tab w:val="left" w:pos="567"/>
        </w:tabs>
        <w:spacing w:after="0" w:line="240" w:lineRule="auto"/>
        <w:ind w:left="567" w:hanging="567"/>
        <w:jc w:val="both"/>
        <w:rPr>
          <w:rFonts w:cstheme="minorHAnsi"/>
          <w:color w:val="000000" w:themeColor="text1"/>
          <w:sz w:val="20"/>
          <w:szCs w:val="20"/>
        </w:rPr>
      </w:pPr>
      <w:r w:rsidRPr="00683C70">
        <w:rPr>
          <w:rFonts w:cstheme="minorHAnsi"/>
          <w:color w:val="000000" w:themeColor="text1"/>
          <w:sz w:val="20"/>
          <w:szCs w:val="20"/>
        </w:rPr>
        <w:t>8.7</w:t>
      </w:r>
      <w:r w:rsidRPr="00683C70">
        <w:rPr>
          <w:rFonts w:cstheme="minorHAnsi"/>
          <w:color w:val="000000" w:themeColor="text1"/>
          <w:sz w:val="20"/>
          <w:szCs w:val="20"/>
        </w:rPr>
        <w:tab/>
        <w:t>Disaster Recovery Invocation</w:t>
      </w:r>
      <w:r w:rsidR="00C571F3" w:rsidRPr="00683C70">
        <w:rPr>
          <w:rFonts w:cstheme="minorHAnsi"/>
          <w:color w:val="000000" w:themeColor="text1"/>
          <w:sz w:val="20"/>
          <w:szCs w:val="20"/>
        </w:rPr>
        <w:t>.</w:t>
      </w:r>
      <w:r w:rsidR="009D09E1" w:rsidRPr="00683C70">
        <w:rPr>
          <w:rFonts w:cstheme="minorHAnsi"/>
          <w:color w:val="000000" w:themeColor="text1"/>
          <w:sz w:val="20"/>
          <w:szCs w:val="20"/>
        </w:rPr>
        <w:t xml:space="preserve">  Upon request</w:t>
      </w:r>
      <w:r w:rsidR="00137517" w:rsidRPr="00683C70">
        <w:rPr>
          <w:rFonts w:cstheme="minorHAnsi"/>
          <w:color w:val="000000" w:themeColor="text1"/>
          <w:sz w:val="20"/>
          <w:szCs w:val="20"/>
        </w:rPr>
        <w:t xml:space="preserve"> or as situations dictate</w:t>
      </w:r>
      <w:r w:rsidR="009D09E1" w:rsidRPr="00683C70">
        <w:rPr>
          <w:rFonts w:cstheme="minorHAnsi"/>
          <w:color w:val="000000" w:themeColor="text1"/>
          <w:sz w:val="20"/>
          <w:szCs w:val="20"/>
        </w:rPr>
        <w:t xml:space="preserve">, </w:t>
      </w:r>
      <w:r w:rsidR="008343B8" w:rsidRPr="00683C70">
        <w:rPr>
          <w:rFonts w:cstheme="minorHAnsi"/>
          <w:color w:val="000000" w:themeColor="text1"/>
          <w:sz w:val="20"/>
          <w:szCs w:val="20"/>
        </w:rPr>
        <w:t xml:space="preserve">Solutions in I.T. and our partners, </w:t>
      </w:r>
      <w:r w:rsidR="009D09E1" w:rsidRPr="00683C70">
        <w:rPr>
          <w:rFonts w:cstheme="minorHAnsi"/>
          <w:color w:val="000000" w:themeColor="text1"/>
          <w:sz w:val="20"/>
          <w:szCs w:val="20"/>
        </w:rPr>
        <w:t>Node4</w:t>
      </w:r>
      <w:r w:rsidR="008343B8" w:rsidRPr="00683C70">
        <w:rPr>
          <w:rFonts w:cstheme="minorHAnsi"/>
          <w:color w:val="000000" w:themeColor="text1"/>
          <w:sz w:val="20"/>
          <w:szCs w:val="20"/>
        </w:rPr>
        <w:t>,</w:t>
      </w:r>
      <w:r w:rsidR="009D09E1" w:rsidRPr="00683C70">
        <w:rPr>
          <w:rFonts w:cstheme="minorHAnsi"/>
          <w:color w:val="000000" w:themeColor="text1"/>
          <w:sz w:val="20"/>
          <w:szCs w:val="20"/>
        </w:rPr>
        <w:t xml:space="preserve"> shall invoke virtual machine failover using disaster recovery </w:t>
      </w:r>
      <w:r w:rsidR="00137517" w:rsidRPr="00683C70">
        <w:rPr>
          <w:rFonts w:cstheme="minorHAnsi"/>
          <w:color w:val="000000" w:themeColor="text1"/>
          <w:sz w:val="20"/>
          <w:szCs w:val="20"/>
        </w:rPr>
        <w:t>processes</w:t>
      </w:r>
      <w:r w:rsidR="009D09E1" w:rsidRPr="00683C70">
        <w:rPr>
          <w:rFonts w:cstheme="minorHAnsi"/>
          <w:color w:val="000000" w:themeColor="text1"/>
          <w:sz w:val="20"/>
          <w:szCs w:val="20"/>
        </w:rPr>
        <w:t>.</w:t>
      </w:r>
    </w:p>
    <w:p w:rsidR="005B15B8" w:rsidRDefault="005B15B8" w:rsidP="00817DA9">
      <w:pPr>
        <w:tabs>
          <w:tab w:val="left" w:pos="567"/>
        </w:tabs>
        <w:spacing w:after="100" w:afterAutospacing="1" w:line="240" w:lineRule="auto"/>
        <w:jc w:val="both"/>
        <w:rPr>
          <w:rFonts w:cstheme="minorHAnsi"/>
          <w:color w:val="000000" w:themeColor="text1"/>
          <w:sz w:val="20"/>
          <w:szCs w:val="20"/>
        </w:rPr>
      </w:pPr>
    </w:p>
    <w:p w:rsidR="005B15B8" w:rsidRPr="00DC7D57" w:rsidRDefault="00A90EE4" w:rsidP="005B15B8">
      <w:pPr>
        <w:pStyle w:val="ListParagraph"/>
        <w:tabs>
          <w:tab w:val="left" w:pos="567"/>
        </w:tabs>
        <w:spacing w:line="240" w:lineRule="auto"/>
        <w:ind w:left="0"/>
        <w:jc w:val="both"/>
        <w:rPr>
          <w:rFonts w:cstheme="minorHAnsi"/>
          <w:b/>
          <w:color w:val="002060"/>
          <w:sz w:val="24"/>
          <w:szCs w:val="20"/>
        </w:rPr>
      </w:pPr>
      <w:r>
        <w:rPr>
          <w:rFonts w:cstheme="minorHAnsi"/>
          <w:b/>
          <w:color w:val="002060"/>
          <w:sz w:val="24"/>
          <w:szCs w:val="20"/>
        </w:rPr>
        <w:t>9</w:t>
      </w:r>
      <w:r w:rsidR="005B15B8" w:rsidRPr="00DC7D57">
        <w:rPr>
          <w:rFonts w:cstheme="minorHAnsi"/>
          <w:b/>
          <w:color w:val="002060"/>
          <w:sz w:val="24"/>
          <w:szCs w:val="20"/>
        </w:rPr>
        <w:t>. Unexpected Events</w:t>
      </w:r>
    </w:p>
    <w:p w:rsidR="005B15B8" w:rsidRDefault="00A90EE4" w:rsidP="005B15B8">
      <w:pPr>
        <w:pStyle w:val="ListParagraph"/>
        <w:tabs>
          <w:tab w:val="left" w:pos="567"/>
        </w:tabs>
        <w:spacing w:after="0" w:line="240" w:lineRule="auto"/>
        <w:ind w:left="0"/>
        <w:jc w:val="both"/>
        <w:rPr>
          <w:rFonts w:cstheme="minorHAnsi"/>
          <w:color w:val="000000" w:themeColor="text1"/>
          <w:sz w:val="20"/>
          <w:szCs w:val="20"/>
        </w:rPr>
      </w:pPr>
      <w:r>
        <w:rPr>
          <w:rFonts w:cstheme="minorHAnsi"/>
          <w:color w:val="000000" w:themeColor="text1"/>
          <w:sz w:val="20"/>
          <w:szCs w:val="20"/>
        </w:rPr>
        <w:t>9</w:t>
      </w:r>
      <w:r w:rsidR="005B15B8" w:rsidRPr="002218DF">
        <w:rPr>
          <w:rFonts w:cstheme="minorHAnsi"/>
          <w:color w:val="000000" w:themeColor="text1"/>
          <w:sz w:val="20"/>
          <w:szCs w:val="20"/>
        </w:rPr>
        <w:t>.1</w:t>
      </w:r>
      <w:r w:rsidR="005B15B8" w:rsidRPr="002218DF">
        <w:rPr>
          <w:rFonts w:cstheme="minorHAnsi"/>
          <w:color w:val="000000" w:themeColor="text1"/>
          <w:sz w:val="20"/>
          <w:szCs w:val="20"/>
        </w:rPr>
        <w:tab/>
        <w:t xml:space="preserve">Neither party will be liable to the other for any failure to perform, or delay in performance of, any obligations under </w:t>
      </w:r>
      <w:r w:rsidR="005B15B8">
        <w:rPr>
          <w:rFonts w:cstheme="minorHAnsi"/>
          <w:color w:val="000000" w:themeColor="text1"/>
          <w:sz w:val="20"/>
          <w:szCs w:val="20"/>
        </w:rPr>
        <w:tab/>
      </w:r>
      <w:r w:rsidR="005B15B8" w:rsidRPr="002218DF">
        <w:rPr>
          <w:rFonts w:cstheme="minorHAnsi"/>
          <w:color w:val="000000" w:themeColor="text1"/>
          <w:sz w:val="20"/>
          <w:szCs w:val="20"/>
        </w:rPr>
        <w:t>the Support Agreement to the extent that such failure or delay results from an Unexpected Event.</w:t>
      </w:r>
    </w:p>
    <w:p w:rsidR="005B15B8" w:rsidRDefault="00A90EE4" w:rsidP="00A90EE4">
      <w:pPr>
        <w:tabs>
          <w:tab w:val="left" w:pos="567"/>
        </w:tabs>
        <w:spacing w:after="100" w:afterAutospacing="1" w:line="240" w:lineRule="auto"/>
        <w:jc w:val="both"/>
        <w:rPr>
          <w:rFonts w:cstheme="minorHAnsi"/>
          <w:color w:val="000000" w:themeColor="text1"/>
          <w:sz w:val="20"/>
          <w:szCs w:val="20"/>
        </w:rPr>
      </w:pPr>
      <w:r>
        <w:rPr>
          <w:rFonts w:cstheme="minorHAnsi"/>
          <w:color w:val="000000" w:themeColor="text1"/>
          <w:sz w:val="20"/>
          <w:szCs w:val="20"/>
        </w:rPr>
        <w:t>9</w:t>
      </w:r>
      <w:r w:rsidR="005B15B8">
        <w:rPr>
          <w:rFonts w:cstheme="minorHAnsi"/>
          <w:color w:val="000000" w:themeColor="text1"/>
          <w:sz w:val="20"/>
          <w:szCs w:val="20"/>
        </w:rPr>
        <w:t>.2</w:t>
      </w:r>
      <w:r w:rsidR="005B15B8" w:rsidRPr="00E44B9B">
        <w:rPr>
          <w:rFonts w:cstheme="minorHAnsi"/>
          <w:color w:val="000000" w:themeColor="text1"/>
          <w:sz w:val="20"/>
          <w:szCs w:val="20"/>
        </w:rPr>
        <w:tab/>
        <w:t xml:space="preserve">A party’s performance under the Support Agreement is deemed to be suspended for the period that the Unexpected </w:t>
      </w:r>
      <w:r w:rsidR="005B15B8" w:rsidRPr="00E44B9B">
        <w:rPr>
          <w:rFonts w:cstheme="minorHAnsi"/>
          <w:color w:val="000000" w:themeColor="text1"/>
          <w:sz w:val="20"/>
          <w:szCs w:val="20"/>
        </w:rPr>
        <w:tab/>
        <w:t>Event continues.</w:t>
      </w:r>
    </w:p>
    <w:p w:rsidR="00E93FAA" w:rsidRDefault="00E93FAA">
      <w:pPr>
        <w:spacing w:after="0" w:line="240" w:lineRule="auto"/>
        <w:rPr>
          <w:rFonts w:cstheme="minorHAnsi"/>
          <w:b/>
          <w:color w:val="002060"/>
          <w:sz w:val="24"/>
          <w:szCs w:val="20"/>
        </w:rPr>
      </w:pPr>
    </w:p>
    <w:p w:rsidR="006638BF" w:rsidRPr="00DC7D57" w:rsidRDefault="00A90EE4" w:rsidP="00A36D33">
      <w:pPr>
        <w:tabs>
          <w:tab w:val="left" w:pos="567"/>
        </w:tabs>
        <w:spacing w:after="0" w:line="240" w:lineRule="auto"/>
        <w:ind w:left="357" w:hanging="357"/>
        <w:jc w:val="both"/>
        <w:rPr>
          <w:rFonts w:cstheme="minorHAnsi"/>
          <w:b/>
          <w:color w:val="002060"/>
          <w:sz w:val="24"/>
          <w:szCs w:val="20"/>
        </w:rPr>
      </w:pPr>
      <w:r>
        <w:rPr>
          <w:rFonts w:cstheme="minorHAnsi"/>
          <w:b/>
          <w:color w:val="002060"/>
          <w:sz w:val="24"/>
          <w:szCs w:val="20"/>
        </w:rPr>
        <w:t>10</w:t>
      </w:r>
      <w:r w:rsidR="006638BF" w:rsidRPr="00DC7D57">
        <w:rPr>
          <w:rFonts w:cstheme="minorHAnsi"/>
          <w:b/>
          <w:color w:val="002060"/>
          <w:sz w:val="24"/>
          <w:szCs w:val="20"/>
        </w:rPr>
        <w:t>.  General</w:t>
      </w:r>
    </w:p>
    <w:p w:rsidR="006638BF" w:rsidRDefault="00A90EE4" w:rsidP="00A90EE4">
      <w:pPr>
        <w:spacing w:before="100" w:beforeAutospacing="1" w:after="100" w:afterAutospacing="1" w:line="240" w:lineRule="auto"/>
        <w:ind w:left="720" w:hanging="720"/>
        <w:contextualSpacing/>
        <w:jc w:val="both"/>
        <w:rPr>
          <w:sz w:val="20"/>
        </w:rPr>
      </w:pPr>
      <w:r>
        <w:rPr>
          <w:sz w:val="20"/>
        </w:rPr>
        <w:t>10</w:t>
      </w:r>
      <w:r w:rsidR="006638BF" w:rsidRPr="00CC7319">
        <w:rPr>
          <w:sz w:val="20"/>
        </w:rPr>
        <w:t>.1</w:t>
      </w:r>
      <w:r>
        <w:rPr>
          <w:sz w:val="20"/>
        </w:rPr>
        <w:tab/>
      </w:r>
      <w:r w:rsidR="006638BF" w:rsidRPr="006638BF">
        <w:rPr>
          <w:sz w:val="20"/>
        </w:rPr>
        <w:t>If a disagreement arises under the Support Agreement then the parties will attempt to settle it by mediation in accordance with the CEDR Model Mediation Procedure. Unless otherwise agreed between the parties, the mediator will be nominated by CEDR.  To initiate mediation a party must give Notice in writing to the other requesting mediation.  A copy of the request should be sent to CEDR.</w:t>
      </w:r>
    </w:p>
    <w:p w:rsidR="00CC7319" w:rsidRDefault="00A90EE4" w:rsidP="00A36D33">
      <w:pPr>
        <w:spacing w:before="100" w:beforeAutospacing="1" w:after="100" w:afterAutospacing="1" w:line="240" w:lineRule="auto"/>
        <w:ind w:left="357" w:hanging="357"/>
        <w:contextualSpacing/>
        <w:jc w:val="both"/>
        <w:rPr>
          <w:sz w:val="20"/>
        </w:rPr>
      </w:pPr>
      <w:r>
        <w:rPr>
          <w:sz w:val="20"/>
        </w:rPr>
        <w:t>10</w:t>
      </w:r>
      <w:r w:rsidR="00CC7319" w:rsidRPr="00CC7319">
        <w:rPr>
          <w:sz w:val="20"/>
        </w:rPr>
        <w:t>.2</w:t>
      </w:r>
      <w:r w:rsidR="00CC7319" w:rsidRPr="00CC7319">
        <w:rPr>
          <w:sz w:val="20"/>
        </w:rPr>
        <w:tab/>
      </w:r>
      <w:r>
        <w:rPr>
          <w:sz w:val="20"/>
        </w:rPr>
        <w:tab/>
      </w:r>
      <w:r w:rsidR="00CC7319" w:rsidRPr="00CC7319">
        <w:rPr>
          <w:sz w:val="20"/>
        </w:rPr>
        <w:t>The mediation will start not later than 10 working days after the date</w:t>
      </w:r>
      <w:r w:rsidR="00E44B9B">
        <w:rPr>
          <w:sz w:val="20"/>
        </w:rPr>
        <w:t xml:space="preserve"> of the notice under paragraph 9</w:t>
      </w:r>
      <w:r w:rsidR="00CC7319" w:rsidRPr="00CC7319">
        <w:rPr>
          <w:sz w:val="20"/>
        </w:rPr>
        <w:t>.1</w:t>
      </w:r>
    </w:p>
    <w:p w:rsidR="00CC7319" w:rsidRDefault="00A90EE4" w:rsidP="00A36D33">
      <w:pPr>
        <w:spacing w:before="100" w:beforeAutospacing="1" w:after="100" w:afterAutospacing="1" w:line="240" w:lineRule="auto"/>
        <w:ind w:left="357" w:hanging="357"/>
        <w:contextualSpacing/>
        <w:jc w:val="both"/>
        <w:rPr>
          <w:sz w:val="20"/>
        </w:rPr>
      </w:pPr>
      <w:r>
        <w:rPr>
          <w:sz w:val="20"/>
        </w:rPr>
        <w:t>10</w:t>
      </w:r>
      <w:r w:rsidR="00E44B9B">
        <w:rPr>
          <w:sz w:val="20"/>
        </w:rPr>
        <w:t>.</w:t>
      </w:r>
      <w:r w:rsidR="00CC7319" w:rsidRPr="00CC7319">
        <w:rPr>
          <w:sz w:val="20"/>
        </w:rPr>
        <w:t>3</w:t>
      </w:r>
      <w:r w:rsidR="00CC7319" w:rsidRPr="00CC7319">
        <w:rPr>
          <w:sz w:val="20"/>
        </w:rPr>
        <w:tab/>
      </w:r>
      <w:r>
        <w:rPr>
          <w:sz w:val="20"/>
        </w:rPr>
        <w:tab/>
      </w:r>
      <w:r w:rsidR="00CC7319" w:rsidRPr="00CC7319">
        <w:rPr>
          <w:sz w:val="20"/>
        </w:rPr>
        <w:t>The parties will bear their own costs of attending the mediation.</w:t>
      </w:r>
    </w:p>
    <w:p w:rsidR="00CC7319" w:rsidRDefault="00A90EE4" w:rsidP="00A90EE4">
      <w:pPr>
        <w:spacing w:before="100" w:beforeAutospacing="1" w:after="100" w:afterAutospacing="1" w:line="240" w:lineRule="auto"/>
        <w:ind w:left="720" w:hanging="720"/>
        <w:contextualSpacing/>
        <w:jc w:val="both"/>
        <w:rPr>
          <w:sz w:val="20"/>
        </w:rPr>
      </w:pPr>
      <w:r>
        <w:rPr>
          <w:sz w:val="20"/>
        </w:rPr>
        <w:t>10</w:t>
      </w:r>
      <w:r w:rsidR="00CC7319" w:rsidRPr="00CC7319">
        <w:rPr>
          <w:sz w:val="20"/>
        </w:rPr>
        <w:t>.4</w:t>
      </w:r>
      <w:r>
        <w:rPr>
          <w:sz w:val="20"/>
        </w:rPr>
        <w:tab/>
      </w:r>
      <w:r w:rsidR="00CC7319" w:rsidRPr="00CC7319">
        <w:rPr>
          <w:sz w:val="20"/>
        </w:rPr>
        <w:t>If any of the terms of the Support Agreement are determined by any competent authority to be invalid, unlawful or unenforceable to any extent, such term, condition or provision will to that extent be severed from the remaining terms, conditions and provisions which will continue to be valid to the fullest extent permitted by law.</w:t>
      </w:r>
    </w:p>
    <w:p w:rsidR="00CC7319" w:rsidRDefault="00A90EE4" w:rsidP="00A90EE4">
      <w:pPr>
        <w:spacing w:before="100" w:beforeAutospacing="1" w:after="100" w:afterAutospacing="1" w:line="240" w:lineRule="auto"/>
        <w:ind w:left="720" w:hanging="720"/>
        <w:contextualSpacing/>
        <w:jc w:val="both"/>
        <w:rPr>
          <w:sz w:val="20"/>
        </w:rPr>
      </w:pPr>
      <w:r>
        <w:rPr>
          <w:sz w:val="20"/>
        </w:rPr>
        <w:t>10</w:t>
      </w:r>
      <w:r w:rsidR="00CC7319" w:rsidRPr="00CC7319">
        <w:rPr>
          <w:sz w:val="20"/>
        </w:rPr>
        <w:t>.5</w:t>
      </w:r>
      <w:r w:rsidR="00CC7319" w:rsidRPr="00CC7319">
        <w:rPr>
          <w:sz w:val="20"/>
        </w:rPr>
        <w:tab/>
        <w:t>The Support Agreement and any document expressly referred to in it represents the entire agreement between the parties and supersedes any prior agreement, understanding or arrangement whether oral or in writing.</w:t>
      </w:r>
    </w:p>
    <w:p w:rsidR="00CC7319" w:rsidRDefault="00A90EE4" w:rsidP="00A90EE4">
      <w:pPr>
        <w:spacing w:before="100" w:beforeAutospacing="1" w:after="100" w:afterAutospacing="1" w:line="240" w:lineRule="auto"/>
        <w:ind w:left="720" w:hanging="720"/>
        <w:contextualSpacing/>
        <w:jc w:val="both"/>
        <w:rPr>
          <w:sz w:val="20"/>
        </w:rPr>
      </w:pPr>
      <w:r>
        <w:rPr>
          <w:sz w:val="20"/>
        </w:rPr>
        <w:t>10</w:t>
      </w:r>
      <w:r w:rsidR="00CC7319" w:rsidRPr="00CC7319">
        <w:rPr>
          <w:sz w:val="20"/>
        </w:rPr>
        <w:t>.6</w:t>
      </w:r>
      <w:r w:rsidR="00CC7319" w:rsidRPr="00CC7319">
        <w:rPr>
          <w:sz w:val="20"/>
        </w:rPr>
        <w:tab/>
        <w:t>Neither party has relied on any representation, undertaking or promise given by the other or implied from anything said or written in negotiations prior to entering into the Support Agreement except as expressly stated in the Support Agreement or any document expressly referred to in it.</w:t>
      </w:r>
    </w:p>
    <w:p w:rsidR="00CC7319" w:rsidRDefault="00A90EE4" w:rsidP="00A90EE4">
      <w:pPr>
        <w:spacing w:before="100" w:beforeAutospacing="1" w:after="100" w:afterAutospacing="1" w:line="240" w:lineRule="auto"/>
        <w:ind w:left="720" w:hanging="720"/>
        <w:contextualSpacing/>
        <w:jc w:val="both"/>
        <w:rPr>
          <w:sz w:val="20"/>
        </w:rPr>
      </w:pPr>
      <w:r>
        <w:rPr>
          <w:sz w:val="20"/>
        </w:rPr>
        <w:lastRenderedPageBreak/>
        <w:t>10</w:t>
      </w:r>
      <w:r w:rsidR="00CC7319" w:rsidRPr="00CC7319">
        <w:rPr>
          <w:sz w:val="20"/>
        </w:rPr>
        <w:t>.7</w:t>
      </w:r>
      <w:r w:rsidR="00CC7319" w:rsidRPr="00CC7319">
        <w:rPr>
          <w:sz w:val="20"/>
        </w:rPr>
        <w:tab/>
        <w:t>Neither party has any remedy in respect of any untrue statement made by the other, whether orally or in writing, prior to the date of the Support Agreement (unless such untrue statement was made fraudulently) and a party’s only remedy shall be for breach of contract as provided in these terms and conditions.</w:t>
      </w:r>
    </w:p>
    <w:p w:rsidR="00CC7319" w:rsidRDefault="00A90EE4" w:rsidP="00A90EE4">
      <w:pPr>
        <w:spacing w:before="100" w:beforeAutospacing="1" w:after="100" w:afterAutospacing="1" w:line="240" w:lineRule="auto"/>
        <w:ind w:left="720" w:hanging="720"/>
        <w:contextualSpacing/>
        <w:jc w:val="both"/>
        <w:rPr>
          <w:sz w:val="20"/>
        </w:rPr>
      </w:pPr>
      <w:r>
        <w:rPr>
          <w:sz w:val="20"/>
        </w:rPr>
        <w:t>10</w:t>
      </w:r>
      <w:r w:rsidR="00CC7319" w:rsidRPr="00CC7319">
        <w:rPr>
          <w:sz w:val="20"/>
        </w:rPr>
        <w:t>.8</w:t>
      </w:r>
      <w:r w:rsidR="00CC7319" w:rsidRPr="00CC7319">
        <w:rPr>
          <w:sz w:val="20"/>
        </w:rPr>
        <w:tab/>
        <w:t>No term of the Support Agreement shall be enforceable under the Contracts (Rights of Third Parties) Act 1999 by a person who is not a party to the Support Agreement, but this does not affect any right or remedy of a third party which exists or is available apart from under that Act.</w:t>
      </w:r>
    </w:p>
    <w:p w:rsidR="00CC7319" w:rsidRDefault="00A90EE4" w:rsidP="00A90EE4">
      <w:pPr>
        <w:spacing w:before="100" w:beforeAutospacing="1" w:after="100" w:afterAutospacing="1" w:line="240" w:lineRule="auto"/>
        <w:ind w:left="720" w:hanging="720"/>
        <w:contextualSpacing/>
        <w:jc w:val="both"/>
        <w:rPr>
          <w:sz w:val="20"/>
        </w:rPr>
      </w:pPr>
      <w:r>
        <w:rPr>
          <w:sz w:val="20"/>
        </w:rPr>
        <w:t>10</w:t>
      </w:r>
      <w:r w:rsidR="00CC7319" w:rsidRPr="00CC7319">
        <w:rPr>
          <w:sz w:val="20"/>
        </w:rPr>
        <w:t>.9</w:t>
      </w:r>
      <w:r w:rsidR="00CC7319" w:rsidRPr="00CC7319">
        <w:rPr>
          <w:sz w:val="20"/>
        </w:rPr>
        <w:tab/>
        <w:t>The Support Agreement and any disputes or claims arising out of or in connection with its subject matter are governed by and construed in accordance with the law of England and W</w:t>
      </w:r>
      <w:r w:rsidR="00E44B9B">
        <w:rPr>
          <w:sz w:val="20"/>
        </w:rPr>
        <w:t>ales and (subject to paragraph 9</w:t>
      </w:r>
      <w:r w:rsidR="00CC7319" w:rsidRPr="00CC7319">
        <w:rPr>
          <w:sz w:val="20"/>
        </w:rPr>
        <w:t>.1) the courts of England and Wales have exclusive jurisdiction to settle any dispute or claim.</w:t>
      </w:r>
    </w:p>
    <w:p w:rsidR="00CC7319" w:rsidRDefault="00CC7319" w:rsidP="00A36D33">
      <w:pPr>
        <w:spacing w:before="100" w:beforeAutospacing="1" w:after="100" w:afterAutospacing="1" w:line="240" w:lineRule="auto"/>
        <w:ind w:left="357" w:hanging="357"/>
        <w:contextualSpacing/>
        <w:jc w:val="both"/>
        <w:rPr>
          <w:sz w:val="20"/>
        </w:rPr>
      </w:pPr>
    </w:p>
    <w:p w:rsidR="00CC7319" w:rsidRPr="006638BF" w:rsidRDefault="00CC7319" w:rsidP="006638BF">
      <w:pPr>
        <w:spacing w:after="0" w:line="240" w:lineRule="auto"/>
        <w:ind w:left="357" w:hanging="357"/>
        <w:rPr>
          <w:sz w:val="20"/>
        </w:rPr>
      </w:pPr>
    </w:p>
    <w:p w:rsidR="006638BF" w:rsidRPr="006638BF" w:rsidRDefault="006638BF" w:rsidP="006638BF">
      <w:pPr>
        <w:pStyle w:val="ListParagraph"/>
        <w:tabs>
          <w:tab w:val="left" w:pos="567"/>
        </w:tabs>
        <w:spacing w:line="240" w:lineRule="auto"/>
        <w:ind w:left="360" w:hanging="360"/>
        <w:rPr>
          <w:rFonts w:cstheme="minorHAnsi"/>
          <w:color w:val="000000" w:themeColor="text1"/>
          <w:sz w:val="20"/>
          <w:szCs w:val="20"/>
        </w:rPr>
      </w:pPr>
    </w:p>
    <w:p w:rsidR="00ED3987" w:rsidRDefault="00ED3987" w:rsidP="00ED3987">
      <w:pPr>
        <w:rPr>
          <w:rFonts w:cstheme="minorHAnsi"/>
          <w:b/>
          <w:color w:val="548DD4" w:themeColor="text2" w:themeTint="99"/>
          <w:sz w:val="24"/>
          <w:szCs w:val="21"/>
        </w:rPr>
      </w:pPr>
    </w:p>
    <w:p w:rsidR="00ED3987" w:rsidRDefault="00ED3987" w:rsidP="00ED3987">
      <w:pPr>
        <w:rPr>
          <w:rFonts w:cstheme="minorHAnsi"/>
          <w:b/>
          <w:color w:val="548DD4" w:themeColor="text2" w:themeTint="99"/>
          <w:sz w:val="24"/>
          <w:szCs w:val="21"/>
        </w:rPr>
      </w:pPr>
    </w:p>
    <w:p w:rsidR="00ED3987" w:rsidRPr="00ED3987" w:rsidRDefault="00ED3987" w:rsidP="00ED3987">
      <w:pPr>
        <w:rPr>
          <w:rFonts w:cstheme="minorHAnsi"/>
          <w:b/>
          <w:color w:val="548DD4" w:themeColor="text2" w:themeTint="99"/>
          <w:sz w:val="24"/>
          <w:szCs w:val="21"/>
        </w:rPr>
      </w:pPr>
    </w:p>
    <w:p w:rsidR="00ED3987" w:rsidRPr="003E33C4" w:rsidRDefault="00ED3987" w:rsidP="003E33C4">
      <w:pPr>
        <w:rPr>
          <w:rFonts w:cstheme="minorHAnsi"/>
          <w:b/>
          <w:color w:val="548DD4" w:themeColor="text2" w:themeTint="99"/>
          <w:sz w:val="24"/>
          <w:szCs w:val="21"/>
        </w:rPr>
      </w:pPr>
    </w:p>
    <w:sectPr w:rsidR="00ED3987" w:rsidRPr="003E33C4" w:rsidSect="00BD4427">
      <w:headerReference w:type="default" r:id="rId12"/>
      <w:footerReference w:type="default" r:id="rId13"/>
      <w:pgSz w:w="11906" w:h="16838"/>
      <w:pgMar w:top="1440" w:right="851" w:bottom="1440"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8E9" w:rsidRDefault="00E738E9" w:rsidP="00F42C5C">
      <w:pPr>
        <w:spacing w:after="0" w:line="240" w:lineRule="auto"/>
      </w:pPr>
      <w:r>
        <w:separator/>
      </w:r>
    </w:p>
  </w:endnote>
  <w:endnote w:type="continuationSeparator" w:id="0">
    <w:p w:rsidR="00E738E9" w:rsidRDefault="00E738E9" w:rsidP="00F4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07199"/>
      <w:docPartObj>
        <w:docPartGallery w:val="Page Numbers (Bottom of Page)"/>
        <w:docPartUnique/>
      </w:docPartObj>
    </w:sdtPr>
    <w:sdtEndPr>
      <w:rPr>
        <w:color w:val="7F7F7F" w:themeColor="background1" w:themeShade="7F"/>
        <w:spacing w:val="60"/>
      </w:rPr>
    </w:sdtEndPr>
    <w:sdtContent>
      <w:p w:rsidR="00E738E9" w:rsidRDefault="00E738E9" w:rsidP="00DC789D">
        <w:pPr>
          <w:pStyle w:val="Footer"/>
          <w:keepLines/>
          <w:pBdr>
            <w:top w:val="single" w:sz="4" w:space="0"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344044" w:rsidRPr="00344044">
          <w:rPr>
            <w:b/>
            <w:noProof/>
          </w:rPr>
          <w:t>2</w:t>
        </w:r>
        <w:r>
          <w:rPr>
            <w:b/>
            <w:noProof/>
          </w:rPr>
          <w:fldChar w:fldCharType="end"/>
        </w:r>
        <w:r>
          <w:rPr>
            <w:b/>
          </w:rPr>
          <w:t xml:space="preserve"> | </w:t>
        </w:r>
        <w:r>
          <w:rPr>
            <w:color w:val="7F7F7F" w:themeColor="background1" w:themeShade="7F"/>
            <w:spacing w:val="60"/>
          </w:rPr>
          <w:t>Page</w:t>
        </w:r>
      </w:p>
      <w:p w:rsidR="00E738E9" w:rsidRDefault="00E738E9" w:rsidP="00DC789D">
        <w:pPr>
          <w:pStyle w:val="Footer"/>
          <w:keepLines/>
          <w:pBdr>
            <w:top w:val="single" w:sz="4" w:space="0" w:color="D9D9D9" w:themeColor="background1" w:themeShade="D9"/>
          </w:pBdr>
          <w:rPr>
            <w:b/>
          </w:rPr>
        </w:pPr>
        <w:r w:rsidRPr="00447D01">
          <w:rPr>
            <w:noProof/>
            <w:sz w:val="16"/>
            <w:lang w:eastAsia="en-GB"/>
          </w:rPr>
          <mc:AlternateContent>
            <mc:Choice Requires="wps">
              <w:drawing>
                <wp:anchor distT="45720" distB="45720" distL="114300" distR="114300" simplePos="0" relativeHeight="251673600" behindDoc="0" locked="0" layoutInCell="1" allowOverlap="1" wp14:anchorId="1D3F5160" wp14:editId="21219E41">
                  <wp:simplePos x="0" y="0"/>
                  <wp:positionH relativeFrom="margin">
                    <wp:posOffset>3488690</wp:posOffset>
                  </wp:positionH>
                  <wp:positionV relativeFrom="paragraph">
                    <wp:posOffset>121285</wp:posOffset>
                  </wp:positionV>
                  <wp:extent cx="3088640" cy="333375"/>
                  <wp:effectExtent l="0" t="0" r="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333375"/>
                          </a:xfrm>
                          <a:prstGeom prst="rect">
                            <a:avLst/>
                          </a:prstGeom>
                          <a:solidFill>
                            <a:srgbClr val="FFFFFF"/>
                          </a:solidFill>
                          <a:ln w="9525">
                            <a:noFill/>
                            <a:miter lim="800000"/>
                            <a:headEnd/>
                            <a:tailEnd/>
                          </a:ln>
                        </wps:spPr>
                        <wps:txbx>
                          <w:txbxContent>
                            <w:p w:rsidR="00E738E9" w:rsidRDefault="00E738E9" w:rsidP="00BD4427">
                              <w:pPr>
                                <w:spacing w:after="0" w:line="240" w:lineRule="auto"/>
                                <w:jc w:val="right"/>
                                <w:rPr>
                                  <w:color w:val="000000"/>
                                  <w:sz w:val="16"/>
                                  <w:szCs w:val="20"/>
                                  <w:lang w:val="en-US"/>
                                </w:rPr>
                              </w:pPr>
                              <w:r>
                                <w:rPr>
                                  <w:sz w:val="16"/>
                                </w:rPr>
                                <w:t>Solutions in I.T. Ltd Registered in England No: 4555311</w:t>
                              </w:r>
                            </w:p>
                            <w:p w:rsidR="00E738E9" w:rsidRPr="00447D01" w:rsidRDefault="00E738E9" w:rsidP="00FF4225">
                              <w:pPr>
                                <w:spacing w:after="0" w:line="240" w:lineRule="auto"/>
                                <w:jc w:val="right"/>
                                <w:rPr>
                                  <w:sz w:val="16"/>
                                  <w:szCs w:val="16"/>
                                </w:rPr>
                              </w:pPr>
                              <w:r>
                                <w:rPr>
                                  <w:color w:val="000000"/>
                                  <w:sz w:val="16"/>
                                  <w:szCs w:val="20"/>
                                  <w:lang w:val="en-US"/>
                                </w:rPr>
                                <w:t>Solutions in I.T. Ltd VAT number: GB 799 7804 43</w:t>
                              </w:r>
                            </w:p>
                            <w:p w:rsidR="00E738E9" w:rsidRDefault="00E738E9" w:rsidP="00BD4427">
                              <w:pPr>
                                <w:jc w:val="right"/>
                                <w:rPr>
                                  <w:rFonts w:ascii="Calibri" w:hAnsi="Calibri"/>
                                  <w:color w:val="000000"/>
                                </w:rPr>
                              </w:pPr>
                            </w:p>
                            <w:p w:rsidR="00E738E9" w:rsidRPr="00447D01" w:rsidRDefault="00E738E9" w:rsidP="00BD4427">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F5160" id="_x0000_t202" coordsize="21600,21600" o:spt="202" path="m,l,21600r21600,l21600,xe">
                  <v:stroke joinstyle="miter"/>
                  <v:path gradientshapeok="t" o:connecttype="rect"/>
                </v:shapetype>
                <v:shape id="Text Box 7" o:spid="_x0000_s1026" type="#_x0000_t202" style="position:absolute;margin-left:274.7pt;margin-top:9.55pt;width:243.2pt;height:26.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" stroked="f">
                  <v:textbox>
                    <w:txbxContent>
                      <w:p w:rsidR="00E738E9" w:rsidRDefault="00E738E9" w:rsidP="00BD4427">
                        <w:pPr>
                          <w:spacing w:after="0" w:line="240" w:lineRule="auto"/>
                          <w:jc w:val="right"/>
                          <w:rPr>
                            <w:color w:val="000000"/>
                            <w:sz w:val="16"/>
                            <w:szCs w:val="20"/>
                            <w:lang w:val="en-US"/>
                          </w:rPr>
                        </w:pPr>
                        <w:r>
                          <w:rPr>
                            <w:sz w:val="16"/>
                          </w:rPr>
                          <w:t>Solutions in I.T. Ltd Registered in England No: 4555311</w:t>
                        </w:r>
                      </w:p>
                      <w:p w:rsidR="00E738E9" w:rsidRPr="00447D01" w:rsidRDefault="00E738E9" w:rsidP="00FF4225">
                        <w:pPr>
                          <w:spacing w:after="0" w:line="240" w:lineRule="auto"/>
                          <w:jc w:val="right"/>
                          <w:rPr>
                            <w:sz w:val="16"/>
                            <w:szCs w:val="16"/>
                          </w:rPr>
                        </w:pPr>
                        <w:r>
                          <w:rPr>
                            <w:color w:val="000000"/>
                            <w:sz w:val="16"/>
                            <w:szCs w:val="20"/>
                            <w:lang w:val="en-US"/>
                          </w:rPr>
                          <w:t>Solutions in I.T. Ltd VAT number: GB 799 7804 43</w:t>
                        </w:r>
                      </w:p>
                      <w:p w:rsidR="00E738E9" w:rsidRDefault="00E738E9" w:rsidP="00BD4427">
                        <w:pPr>
                          <w:jc w:val="right"/>
                          <w:rPr>
                            <w:rFonts w:ascii="Calibri" w:hAnsi="Calibri"/>
                            <w:color w:val="000000"/>
                          </w:rPr>
                        </w:pPr>
                      </w:p>
                      <w:p w:rsidR="00E738E9" w:rsidRPr="00447D01" w:rsidRDefault="00E738E9" w:rsidP="00BD4427">
                        <w:pPr>
                          <w:jc w:val="center"/>
                          <w:rPr>
                            <w:sz w:val="16"/>
                            <w:szCs w:val="16"/>
                          </w:rPr>
                        </w:pPr>
                      </w:p>
                    </w:txbxContent>
                  </v:textbox>
                  <w10:wrap type="square" anchorx="margin"/>
                </v:shape>
              </w:pict>
            </mc:Fallback>
          </mc:AlternateContent>
        </w:r>
        <w:r w:rsidRPr="001F3C39">
          <w:rPr>
            <w:noProof/>
            <w:sz w:val="16"/>
            <w:lang w:eastAsia="en-GB"/>
          </w:rPr>
          <mc:AlternateContent>
            <mc:Choice Requires="wps">
              <w:drawing>
                <wp:anchor distT="45720" distB="45720" distL="114300" distR="114300" simplePos="0" relativeHeight="251677696" behindDoc="0" locked="0" layoutInCell="1" allowOverlap="1" wp14:anchorId="21C0D6F1" wp14:editId="7E029F48">
                  <wp:simplePos x="0" y="0"/>
                  <wp:positionH relativeFrom="page">
                    <wp:posOffset>428625</wp:posOffset>
                  </wp:positionH>
                  <wp:positionV relativeFrom="paragraph">
                    <wp:posOffset>196215</wp:posOffset>
                  </wp:positionV>
                  <wp:extent cx="1426844" cy="248284"/>
                  <wp:effectExtent l="0" t="0" r="254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4" cy="248284"/>
                          </a:xfrm>
                          <a:prstGeom prst="rect">
                            <a:avLst/>
                          </a:prstGeom>
                          <a:solidFill>
                            <a:srgbClr val="FFFFFF"/>
                          </a:solidFill>
                          <a:ln w="9525">
                            <a:noFill/>
                            <a:miter lim="800000"/>
                            <a:headEnd/>
                            <a:tailEnd/>
                          </a:ln>
                        </wps:spPr>
                        <wps:txbx>
                          <w:txbxContent>
                            <w:p w:rsidR="00E738E9" w:rsidRPr="00405B20" w:rsidRDefault="00E738E9" w:rsidP="00BD4427">
                              <w:pPr>
                                <w:pStyle w:val="Footer"/>
                                <w:spacing w:line="360" w:lineRule="auto"/>
                                <w:rPr>
                                  <w:sz w:val="16"/>
                                </w:rPr>
                              </w:pPr>
                              <w:r>
                                <w:rPr>
                                  <w:sz w:val="16"/>
                                </w:rPr>
                                <w:t>© Solutions in I.T. Ltd. 202</w:t>
                              </w:r>
                              <w:r w:rsidR="00C23E39">
                                <w:rPr>
                                  <w:sz w:val="16"/>
                                </w:rPr>
                                <w:t>5</w:t>
                              </w:r>
                            </w:p>
                            <w:p w:rsidR="00E738E9" w:rsidRDefault="00E738E9" w:rsidP="00BD4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0D6F1" id="Text Box 2" o:spid="_x0000_s1027" type="#_x0000_t202" style="position:absolute;margin-left:33.75pt;margin-top:15.45pt;width:112.35pt;height:19.5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" stroked="f">
                  <v:textbox>
                    <w:txbxContent>
                      <w:p w:rsidR="00E738E9" w:rsidRPr="00405B20" w:rsidRDefault="00E738E9" w:rsidP="00BD4427">
                        <w:pPr>
                          <w:pStyle w:val="Footer"/>
                          <w:spacing w:line="360" w:lineRule="auto"/>
                          <w:rPr>
                            <w:sz w:val="16"/>
                          </w:rPr>
                        </w:pPr>
                        <w:r>
                          <w:rPr>
                            <w:sz w:val="16"/>
                          </w:rPr>
                          <w:t>© Solutions in I.T. Ltd. 202</w:t>
                        </w:r>
                        <w:r w:rsidR="00C23E39">
                          <w:rPr>
                            <w:sz w:val="16"/>
                          </w:rPr>
                          <w:t>5</w:t>
                        </w:r>
                      </w:p>
                      <w:p w:rsidR="00E738E9" w:rsidRDefault="00E738E9" w:rsidP="00BD4427"/>
                    </w:txbxContent>
                  </v:textbox>
                  <w10:wrap type="square" anchorx="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8E9" w:rsidRDefault="00E738E9" w:rsidP="00F42C5C">
      <w:pPr>
        <w:spacing w:after="0" w:line="240" w:lineRule="auto"/>
      </w:pPr>
      <w:r>
        <w:separator/>
      </w:r>
    </w:p>
  </w:footnote>
  <w:footnote w:type="continuationSeparator" w:id="0">
    <w:p w:rsidR="00E738E9" w:rsidRDefault="00E738E9" w:rsidP="00F4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736" w:type="dxa"/>
      <w:tblInd w:w="2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2957"/>
    </w:tblGrid>
    <w:tr w:rsidR="00E738E9" w:rsidRPr="004C00B8" w:rsidTr="00110047">
      <w:trPr>
        <w:trHeight w:val="279"/>
      </w:trPr>
      <w:tc>
        <w:tcPr>
          <w:tcW w:w="4779" w:type="dxa"/>
        </w:tcPr>
        <w:p w:rsidR="00E738E9" w:rsidRPr="00CA2922" w:rsidRDefault="00E738E9" w:rsidP="00541602">
          <w:pPr>
            <w:pStyle w:val="Header"/>
            <w:spacing w:before="100" w:beforeAutospacing="1" w:after="100" w:afterAutospacing="1"/>
            <w:ind w:left="-252" w:firstLine="252"/>
            <w:jc w:val="center"/>
            <w:rPr>
              <w:b/>
              <w:color w:val="000000" w:themeColor="text1"/>
            </w:rPr>
          </w:pPr>
          <w:r w:rsidRPr="00CA2922">
            <w:rPr>
              <w:b/>
              <w:color w:val="000000" w:themeColor="text1"/>
              <w:sz w:val="28"/>
            </w:rPr>
            <w:t>Hosted Server Support Agreement</w:t>
          </w:r>
        </w:p>
      </w:tc>
      <w:tc>
        <w:tcPr>
          <w:tcW w:w="2957" w:type="dxa"/>
        </w:tcPr>
        <w:p w:rsidR="00E738E9" w:rsidRPr="004C00B8" w:rsidRDefault="00E738E9" w:rsidP="00541602">
          <w:pPr>
            <w:pStyle w:val="Header"/>
            <w:spacing w:before="100" w:beforeAutospacing="1" w:after="100" w:afterAutospacing="1"/>
            <w:jc w:val="right"/>
            <w:rPr>
              <w:color w:val="000000" w:themeColor="text1"/>
              <w:sz w:val="18"/>
            </w:rPr>
          </w:pPr>
          <w:r>
            <w:rPr>
              <w:color w:val="000000" w:themeColor="text1"/>
              <w:sz w:val="18"/>
            </w:rPr>
            <w:t>Updated</w:t>
          </w:r>
          <w:r w:rsidRPr="00110047">
            <w:rPr>
              <w:color w:val="000000" w:themeColor="text1"/>
              <w:sz w:val="18"/>
            </w:rPr>
            <w:t xml:space="preserve">: </w:t>
          </w:r>
          <w:r w:rsidR="00DB4D13">
            <w:rPr>
              <w:color w:val="000000" w:themeColor="text1"/>
              <w:sz w:val="18"/>
            </w:rPr>
            <w:t>3</w:t>
          </w:r>
          <w:r w:rsidR="00DB4D13" w:rsidRPr="00DB4D13">
            <w:rPr>
              <w:color w:val="000000" w:themeColor="text1"/>
              <w:sz w:val="18"/>
              <w:vertAlign w:val="superscript"/>
            </w:rPr>
            <w:t>rd</w:t>
          </w:r>
          <w:r w:rsidR="00DB4D13">
            <w:rPr>
              <w:color w:val="000000" w:themeColor="text1"/>
              <w:sz w:val="18"/>
            </w:rPr>
            <w:t xml:space="preserve"> November</w:t>
          </w:r>
          <w:r w:rsidR="00C23E39">
            <w:rPr>
              <w:color w:val="000000" w:themeColor="text1"/>
              <w:sz w:val="18"/>
            </w:rPr>
            <w:t xml:space="preserve"> 2025</w:t>
          </w:r>
        </w:p>
      </w:tc>
    </w:tr>
  </w:tbl>
  <w:p w:rsidR="00E738E9" w:rsidRDefault="00E738E9" w:rsidP="008E5642">
    <w:pPr>
      <w:pStyle w:val="Header"/>
      <w:ind w:right="139"/>
    </w:pPr>
    <w:r>
      <w:rPr>
        <w:rFonts w:ascii="Calibri" w:hAnsi="Calibri" w:cs="Arial"/>
        <w:b/>
        <w:noProof/>
        <w:color w:val="808080" w:themeColor="background1" w:themeShade="80"/>
        <w:lang w:eastAsia="en-GB"/>
      </w:rPr>
      <w:drawing>
        <wp:anchor distT="0" distB="0" distL="114300" distR="114300" simplePos="0" relativeHeight="251679744" behindDoc="0" locked="0" layoutInCell="1" allowOverlap="1" wp14:anchorId="502826B7" wp14:editId="2F621AD7">
          <wp:simplePos x="0" y="0"/>
          <wp:positionH relativeFrom="column">
            <wp:posOffset>202566</wp:posOffset>
          </wp:positionH>
          <wp:positionV relativeFrom="paragraph">
            <wp:posOffset>-556259</wp:posOffset>
          </wp:positionV>
          <wp:extent cx="704850"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ctangle Logo.jpg"/>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visibility:visible;mso-wrap-style:square" o:bullet="t">
        <v:imagedata r:id="rId1" o:title=""/>
      </v:shape>
    </w:pict>
  </w:numPicBullet>
  <w:abstractNum w:abstractNumId="0" w15:restartNumberingAfterBreak="0">
    <w:nsid w:val="027F71F5"/>
    <w:multiLevelType w:val="hybridMultilevel"/>
    <w:tmpl w:val="7810795A"/>
    <w:lvl w:ilvl="0" w:tplc="FFD649A8">
      <w:start w:val="1"/>
      <w:numFmt w:val="lowerRoman"/>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00D7D"/>
    <w:multiLevelType w:val="hybridMultilevel"/>
    <w:tmpl w:val="7A627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F091E"/>
    <w:multiLevelType w:val="hybridMultilevel"/>
    <w:tmpl w:val="B2FACAA6"/>
    <w:lvl w:ilvl="0" w:tplc="08090005">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A731E48"/>
    <w:multiLevelType w:val="multilevel"/>
    <w:tmpl w:val="F2042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FF119E"/>
    <w:multiLevelType w:val="multilevel"/>
    <w:tmpl w:val="A77020B0"/>
    <w:lvl w:ilvl="0">
      <w:start w:val="1"/>
      <w:numFmt w:val="decimal"/>
      <w:lvlText w:val="%1"/>
      <w:lvlJc w:val="left"/>
      <w:pPr>
        <w:ind w:left="720" w:hanging="360"/>
      </w:pPr>
      <w:rPr>
        <w:rFonts w:asciiTheme="minorHAnsi" w:eastAsiaTheme="minorHAnsi" w:hAnsiTheme="minorHAnsi" w:cs="Tahoma" w:hint="default"/>
        <w:b/>
        <w:color w:val="8DB3E2" w:themeColor="text2" w:themeTint="66"/>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5C5E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57363"/>
    <w:multiLevelType w:val="multilevel"/>
    <w:tmpl w:val="71D8D7A2"/>
    <w:lvl w:ilvl="0">
      <w:start w:val="8"/>
      <w:numFmt w:val="decimal"/>
      <w:lvlText w:val="%1"/>
      <w:lvlJc w:val="left"/>
      <w:pPr>
        <w:ind w:left="720" w:hanging="360"/>
      </w:pPr>
      <w:rPr>
        <w:rFonts w:asciiTheme="minorHAnsi" w:eastAsiaTheme="minorHAnsi" w:hAnsiTheme="minorHAnsi" w:cs="Tahoma" w:hint="default"/>
        <w:color w:val="8DB3E2" w:themeColor="text2" w:themeTint="66"/>
      </w:rPr>
    </w:lvl>
    <w:lvl w:ilvl="1">
      <w:start w:val="3"/>
      <w:numFmt w:val="decimal"/>
      <w:isLgl/>
      <w:lvlText w:val="%1.%2"/>
      <w:lvlJc w:val="left"/>
      <w:pPr>
        <w:ind w:left="72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186B11"/>
    <w:multiLevelType w:val="multilevel"/>
    <w:tmpl w:val="4FFC060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BF4D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53D23"/>
    <w:multiLevelType w:val="multilevel"/>
    <w:tmpl w:val="219EFE7A"/>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0BD4C39"/>
    <w:multiLevelType w:val="multilevel"/>
    <w:tmpl w:val="31D8ADCE"/>
    <w:lvl w:ilvl="0">
      <w:start w:val="1"/>
      <w:numFmt w:val="decimal"/>
      <w:lvlText w:val="%1."/>
      <w:lvlJc w:val="left"/>
      <w:pPr>
        <w:ind w:left="360" w:hanging="360"/>
      </w:pPr>
      <w:rPr>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B719DD"/>
    <w:multiLevelType w:val="multilevel"/>
    <w:tmpl w:val="A544C42E"/>
    <w:lvl w:ilvl="0">
      <w:start w:val="9"/>
      <w:numFmt w:val="decimal"/>
      <w:lvlText w:val="%1"/>
      <w:lvlJc w:val="left"/>
      <w:pPr>
        <w:ind w:left="720" w:hanging="360"/>
      </w:pPr>
      <w:rPr>
        <w:rFonts w:asciiTheme="minorHAnsi" w:eastAsiaTheme="minorHAnsi" w:hAnsiTheme="minorHAnsi" w:cs="Tahoma" w:hint="default"/>
        <w:color w:val="8DB3E2" w:themeColor="text2" w:themeTint="66"/>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43375D6"/>
    <w:multiLevelType w:val="multilevel"/>
    <w:tmpl w:val="D6843D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28699C"/>
    <w:multiLevelType w:val="multilevel"/>
    <w:tmpl w:val="D6843D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C61715"/>
    <w:multiLevelType w:val="multilevel"/>
    <w:tmpl w:val="81B22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154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FA7096"/>
    <w:multiLevelType w:val="multilevel"/>
    <w:tmpl w:val="81B22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6"/>
  </w:num>
  <w:num w:numId="4">
    <w:abstractNumId w:val="11"/>
  </w:num>
  <w:num w:numId="5">
    <w:abstractNumId w:val="8"/>
  </w:num>
  <w:num w:numId="6">
    <w:abstractNumId w:val="12"/>
  </w:num>
  <w:num w:numId="7">
    <w:abstractNumId w:val="13"/>
  </w:num>
  <w:num w:numId="8">
    <w:abstractNumId w:val="10"/>
  </w:num>
  <w:num w:numId="9">
    <w:abstractNumId w:val="16"/>
  </w:num>
  <w:num w:numId="10">
    <w:abstractNumId w:val="5"/>
  </w:num>
  <w:num w:numId="11">
    <w:abstractNumId w:val="9"/>
  </w:num>
  <w:num w:numId="12">
    <w:abstractNumId w:val="15"/>
  </w:num>
  <w:num w:numId="13">
    <w:abstractNumId w:val="3"/>
  </w:num>
  <w:num w:numId="14">
    <w:abstractNumId w:val="14"/>
  </w:num>
  <w:num w:numId="15">
    <w:abstractNumId w:val="7"/>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5C"/>
    <w:rsid w:val="00000C8D"/>
    <w:rsid w:val="00004CC5"/>
    <w:rsid w:val="00007F8E"/>
    <w:rsid w:val="00015830"/>
    <w:rsid w:val="00022A0D"/>
    <w:rsid w:val="0003146C"/>
    <w:rsid w:val="0003187F"/>
    <w:rsid w:val="00031C72"/>
    <w:rsid w:val="00035872"/>
    <w:rsid w:val="00037EE2"/>
    <w:rsid w:val="00046CDF"/>
    <w:rsid w:val="00054B84"/>
    <w:rsid w:val="00060B18"/>
    <w:rsid w:val="000634A9"/>
    <w:rsid w:val="00076B9A"/>
    <w:rsid w:val="00082A65"/>
    <w:rsid w:val="00087170"/>
    <w:rsid w:val="00090436"/>
    <w:rsid w:val="00095726"/>
    <w:rsid w:val="000A005A"/>
    <w:rsid w:val="000A267C"/>
    <w:rsid w:val="000A5741"/>
    <w:rsid w:val="000B1353"/>
    <w:rsid w:val="000B5418"/>
    <w:rsid w:val="000B6A82"/>
    <w:rsid w:val="000C327C"/>
    <w:rsid w:val="000C3A88"/>
    <w:rsid w:val="000C4051"/>
    <w:rsid w:val="000D694C"/>
    <w:rsid w:val="000E1FA5"/>
    <w:rsid w:val="000E4E57"/>
    <w:rsid w:val="000E5114"/>
    <w:rsid w:val="000E5FFC"/>
    <w:rsid w:val="000F16EB"/>
    <w:rsid w:val="000F314A"/>
    <w:rsid w:val="000F693E"/>
    <w:rsid w:val="000F79FE"/>
    <w:rsid w:val="00110047"/>
    <w:rsid w:val="00115BD8"/>
    <w:rsid w:val="001162D4"/>
    <w:rsid w:val="001169E0"/>
    <w:rsid w:val="00120D06"/>
    <w:rsid w:val="00123583"/>
    <w:rsid w:val="001241B4"/>
    <w:rsid w:val="0012539D"/>
    <w:rsid w:val="00130D6C"/>
    <w:rsid w:val="00137517"/>
    <w:rsid w:val="0015291C"/>
    <w:rsid w:val="00157842"/>
    <w:rsid w:val="00170556"/>
    <w:rsid w:val="00170ADA"/>
    <w:rsid w:val="00172B21"/>
    <w:rsid w:val="0017561F"/>
    <w:rsid w:val="00177578"/>
    <w:rsid w:val="001859D3"/>
    <w:rsid w:val="0019045C"/>
    <w:rsid w:val="001A6047"/>
    <w:rsid w:val="001B43DD"/>
    <w:rsid w:val="001B4F6B"/>
    <w:rsid w:val="001C019E"/>
    <w:rsid w:val="001C431C"/>
    <w:rsid w:val="001D225E"/>
    <w:rsid w:val="001D30CF"/>
    <w:rsid w:val="001E2031"/>
    <w:rsid w:val="001E4462"/>
    <w:rsid w:val="001E5B49"/>
    <w:rsid w:val="001E7426"/>
    <w:rsid w:val="001F242B"/>
    <w:rsid w:val="001F24A8"/>
    <w:rsid w:val="001F37CD"/>
    <w:rsid w:val="001F3C39"/>
    <w:rsid w:val="001F74F9"/>
    <w:rsid w:val="00205C42"/>
    <w:rsid w:val="00212639"/>
    <w:rsid w:val="002148EA"/>
    <w:rsid w:val="002215DB"/>
    <w:rsid w:val="002218DF"/>
    <w:rsid w:val="00222454"/>
    <w:rsid w:val="00224CB5"/>
    <w:rsid w:val="00226F28"/>
    <w:rsid w:val="00226FDB"/>
    <w:rsid w:val="002344FB"/>
    <w:rsid w:val="002369C6"/>
    <w:rsid w:val="00243B11"/>
    <w:rsid w:val="002523AD"/>
    <w:rsid w:val="00265FAB"/>
    <w:rsid w:val="00275BE6"/>
    <w:rsid w:val="0028014E"/>
    <w:rsid w:val="00282929"/>
    <w:rsid w:val="00284B48"/>
    <w:rsid w:val="002B14EC"/>
    <w:rsid w:val="002C7C0D"/>
    <w:rsid w:val="002E2133"/>
    <w:rsid w:val="002E3133"/>
    <w:rsid w:val="002E5EBA"/>
    <w:rsid w:val="002F070C"/>
    <w:rsid w:val="002F1C23"/>
    <w:rsid w:val="002F3987"/>
    <w:rsid w:val="002F41CC"/>
    <w:rsid w:val="0030157C"/>
    <w:rsid w:val="00301920"/>
    <w:rsid w:val="0030788F"/>
    <w:rsid w:val="00315AF8"/>
    <w:rsid w:val="00316836"/>
    <w:rsid w:val="00330936"/>
    <w:rsid w:val="00331174"/>
    <w:rsid w:val="00331C01"/>
    <w:rsid w:val="003321F0"/>
    <w:rsid w:val="00334E09"/>
    <w:rsid w:val="00337492"/>
    <w:rsid w:val="00337AE2"/>
    <w:rsid w:val="00342872"/>
    <w:rsid w:val="00344044"/>
    <w:rsid w:val="003454C3"/>
    <w:rsid w:val="00347B26"/>
    <w:rsid w:val="00354A27"/>
    <w:rsid w:val="00364B3E"/>
    <w:rsid w:val="00371D74"/>
    <w:rsid w:val="00371FD1"/>
    <w:rsid w:val="00372991"/>
    <w:rsid w:val="0039118F"/>
    <w:rsid w:val="0039407C"/>
    <w:rsid w:val="003B0F28"/>
    <w:rsid w:val="003B3074"/>
    <w:rsid w:val="003B4629"/>
    <w:rsid w:val="003B5F30"/>
    <w:rsid w:val="003B6775"/>
    <w:rsid w:val="003C3E2A"/>
    <w:rsid w:val="003C55E6"/>
    <w:rsid w:val="003C65CC"/>
    <w:rsid w:val="003D283F"/>
    <w:rsid w:val="003D3D9D"/>
    <w:rsid w:val="003D4996"/>
    <w:rsid w:val="003D52EF"/>
    <w:rsid w:val="003D63B9"/>
    <w:rsid w:val="003E2538"/>
    <w:rsid w:val="003E33C4"/>
    <w:rsid w:val="003E4453"/>
    <w:rsid w:val="003F3C6A"/>
    <w:rsid w:val="003F4EC9"/>
    <w:rsid w:val="00403CC6"/>
    <w:rsid w:val="00405B20"/>
    <w:rsid w:val="004119CB"/>
    <w:rsid w:val="0041467C"/>
    <w:rsid w:val="004174E5"/>
    <w:rsid w:val="004234EA"/>
    <w:rsid w:val="004302A2"/>
    <w:rsid w:val="004360C1"/>
    <w:rsid w:val="00436CC7"/>
    <w:rsid w:val="0043758F"/>
    <w:rsid w:val="00441E26"/>
    <w:rsid w:val="004467A7"/>
    <w:rsid w:val="004522D0"/>
    <w:rsid w:val="00456BAB"/>
    <w:rsid w:val="00460BAF"/>
    <w:rsid w:val="00470F4C"/>
    <w:rsid w:val="00472C13"/>
    <w:rsid w:val="00481458"/>
    <w:rsid w:val="00483F28"/>
    <w:rsid w:val="00486486"/>
    <w:rsid w:val="00491522"/>
    <w:rsid w:val="00493A20"/>
    <w:rsid w:val="004A0E84"/>
    <w:rsid w:val="004A339B"/>
    <w:rsid w:val="004A4ED8"/>
    <w:rsid w:val="004C00B8"/>
    <w:rsid w:val="004C2F37"/>
    <w:rsid w:val="004D0D8C"/>
    <w:rsid w:val="004D5F0E"/>
    <w:rsid w:val="004D7B64"/>
    <w:rsid w:val="004E00DC"/>
    <w:rsid w:val="004E160B"/>
    <w:rsid w:val="004E287C"/>
    <w:rsid w:val="004E48D1"/>
    <w:rsid w:val="004F01AA"/>
    <w:rsid w:val="004F2BE3"/>
    <w:rsid w:val="004F60AD"/>
    <w:rsid w:val="00501E6C"/>
    <w:rsid w:val="005021F7"/>
    <w:rsid w:val="00513F18"/>
    <w:rsid w:val="00517644"/>
    <w:rsid w:val="00524942"/>
    <w:rsid w:val="00525A26"/>
    <w:rsid w:val="005268E0"/>
    <w:rsid w:val="00541602"/>
    <w:rsid w:val="0054325A"/>
    <w:rsid w:val="00544414"/>
    <w:rsid w:val="00553425"/>
    <w:rsid w:val="00555516"/>
    <w:rsid w:val="00562AEE"/>
    <w:rsid w:val="00575F1F"/>
    <w:rsid w:val="00576E47"/>
    <w:rsid w:val="005A2402"/>
    <w:rsid w:val="005B15B8"/>
    <w:rsid w:val="005B79A8"/>
    <w:rsid w:val="005C296B"/>
    <w:rsid w:val="005E382B"/>
    <w:rsid w:val="005E7B34"/>
    <w:rsid w:val="005F4DFC"/>
    <w:rsid w:val="00610D1B"/>
    <w:rsid w:val="006118EA"/>
    <w:rsid w:val="0062071B"/>
    <w:rsid w:val="006211D8"/>
    <w:rsid w:val="006230BE"/>
    <w:rsid w:val="00623A0C"/>
    <w:rsid w:val="00627164"/>
    <w:rsid w:val="00627FB4"/>
    <w:rsid w:val="00634623"/>
    <w:rsid w:val="00641972"/>
    <w:rsid w:val="00641DAB"/>
    <w:rsid w:val="00641F4B"/>
    <w:rsid w:val="00647983"/>
    <w:rsid w:val="00647CCC"/>
    <w:rsid w:val="00654890"/>
    <w:rsid w:val="006565E9"/>
    <w:rsid w:val="00660D36"/>
    <w:rsid w:val="00660F11"/>
    <w:rsid w:val="006612C4"/>
    <w:rsid w:val="006638BF"/>
    <w:rsid w:val="00667AA2"/>
    <w:rsid w:val="0067022F"/>
    <w:rsid w:val="00671DDC"/>
    <w:rsid w:val="00676EB8"/>
    <w:rsid w:val="00682E78"/>
    <w:rsid w:val="00683C70"/>
    <w:rsid w:val="00685CCD"/>
    <w:rsid w:val="00693B2A"/>
    <w:rsid w:val="006A0D6F"/>
    <w:rsid w:val="006A143A"/>
    <w:rsid w:val="006A376C"/>
    <w:rsid w:val="006A5E32"/>
    <w:rsid w:val="006A7136"/>
    <w:rsid w:val="006B6828"/>
    <w:rsid w:val="006C58E4"/>
    <w:rsid w:val="006D4CC6"/>
    <w:rsid w:val="006D6535"/>
    <w:rsid w:val="006D6E35"/>
    <w:rsid w:val="006E5463"/>
    <w:rsid w:val="006E7ED6"/>
    <w:rsid w:val="006F4F43"/>
    <w:rsid w:val="006F5934"/>
    <w:rsid w:val="007015E5"/>
    <w:rsid w:val="00703BCC"/>
    <w:rsid w:val="00704B19"/>
    <w:rsid w:val="00721991"/>
    <w:rsid w:val="00723E9D"/>
    <w:rsid w:val="00730558"/>
    <w:rsid w:val="00731FD9"/>
    <w:rsid w:val="00736129"/>
    <w:rsid w:val="00737C69"/>
    <w:rsid w:val="00741F36"/>
    <w:rsid w:val="007458A9"/>
    <w:rsid w:val="0076286B"/>
    <w:rsid w:val="00766E32"/>
    <w:rsid w:val="007711F2"/>
    <w:rsid w:val="0077260E"/>
    <w:rsid w:val="00781109"/>
    <w:rsid w:val="00786774"/>
    <w:rsid w:val="00793E9B"/>
    <w:rsid w:val="00794FE7"/>
    <w:rsid w:val="00795719"/>
    <w:rsid w:val="007A0003"/>
    <w:rsid w:val="007A0FCE"/>
    <w:rsid w:val="007C0446"/>
    <w:rsid w:val="007C2C15"/>
    <w:rsid w:val="007C7BF3"/>
    <w:rsid w:val="007D4373"/>
    <w:rsid w:val="007E051B"/>
    <w:rsid w:val="007E35C1"/>
    <w:rsid w:val="007E4BDE"/>
    <w:rsid w:val="007F423B"/>
    <w:rsid w:val="00811CB1"/>
    <w:rsid w:val="00817DA9"/>
    <w:rsid w:val="00821754"/>
    <w:rsid w:val="008230FF"/>
    <w:rsid w:val="00823E63"/>
    <w:rsid w:val="00832DA1"/>
    <w:rsid w:val="00833E89"/>
    <w:rsid w:val="008343B8"/>
    <w:rsid w:val="00835C55"/>
    <w:rsid w:val="00840FE4"/>
    <w:rsid w:val="00844F28"/>
    <w:rsid w:val="008459AF"/>
    <w:rsid w:val="00852106"/>
    <w:rsid w:val="008549FB"/>
    <w:rsid w:val="0086186B"/>
    <w:rsid w:val="00865979"/>
    <w:rsid w:val="00867BC3"/>
    <w:rsid w:val="00876C24"/>
    <w:rsid w:val="008776B8"/>
    <w:rsid w:val="00877BEC"/>
    <w:rsid w:val="00886709"/>
    <w:rsid w:val="00894989"/>
    <w:rsid w:val="00895EA1"/>
    <w:rsid w:val="008A0CFF"/>
    <w:rsid w:val="008A6CD6"/>
    <w:rsid w:val="008C0FA6"/>
    <w:rsid w:val="008D0468"/>
    <w:rsid w:val="008D1B73"/>
    <w:rsid w:val="008D4E73"/>
    <w:rsid w:val="008D70FB"/>
    <w:rsid w:val="008E1504"/>
    <w:rsid w:val="008E5642"/>
    <w:rsid w:val="008F2496"/>
    <w:rsid w:val="008F26C8"/>
    <w:rsid w:val="008F4F49"/>
    <w:rsid w:val="009010D1"/>
    <w:rsid w:val="00906946"/>
    <w:rsid w:val="009144FF"/>
    <w:rsid w:val="00914C90"/>
    <w:rsid w:val="00924FE2"/>
    <w:rsid w:val="00925F60"/>
    <w:rsid w:val="00926A4F"/>
    <w:rsid w:val="009273BF"/>
    <w:rsid w:val="009346B6"/>
    <w:rsid w:val="00935400"/>
    <w:rsid w:val="00940BF6"/>
    <w:rsid w:val="00941915"/>
    <w:rsid w:val="009430D9"/>
    <w:rsid w:val="00974C41"/>
    <w:rsid w:val="00980029"/>
    <w:rsid w:val="009842C6"/>
    <w:rsid w:val="0098682B"/>
    <w:rsid w:val="009903FD"/>
    <w:rsid w:val="00992F68"/>
    <w:rsid w:val="0099339E"/>
    <w:rsid w:val="009938C0"/>
    <w:rsid w:val="009A516D"/>
    <w:rsid w:val="009C0D92"/>
    <w:rsid w:val="009C1416"/>
    <w:rsid w:val="009C3371"/>
    <w:rsid w:val="009D0273"/>
    <w:rsid w:val="009D09E1"/>
    <w:rsid w:val="009D3CBA"/>
    <w:rsid w:val="009F1DB0"/>
    <w:rsid w:val="009F3CA7"/>
    <w:rsid w:val="009F6A1B"/>
    <w:rsid w:val="00A02B9C"/>
    <w:rsid w:val="00A16587"/>
    <w:rsid w:val="00A27CA7"/>
    <w:rsid w:val="00A36D33"/>
    <w:rsid w:val="00A37487"/>
    <w:rsid w:val="00A469B0"/>
    <w:rsid w:val="00A46F3F"/>
    <w:rsid w:val="00A471EE"/>
    <w:rsid w:val="00A60348"/>
    <w:rsid w:val="00A638AC"/>
    <w:rsid w:val="00A75D1B"/>
    <w:rsid w:val="00A80059"/>
    <w:rsid w:val="00A80077"/>
    <w:rsid w:val="00A90EE4"/>
    <w:rsid w:val="00A9279C"/>
    <w:rsid w:val="00A935CB"/>
    <w:rsid w:val="00A93ADC"/>
    <w:rsid w:val="00A95907"/>
    <w:rsid w:val="00A95E3E"/>
    <w:rsid w:val="00AA3541"/>
    <w:rsid w:val="00AB1B6F"/>
    <w:rsid w:val="00AB5EAF"/>
    <w:rsid w:val="00AC3178"/>
    <w:rsid w:val="00AC7FE8"/>
    <w:rsid w:val="00AD767F"/>
    <w:rsid w:val="00AF1AB1"/>
    <w:rsid w:val="00AF270A"/>
    <w:rsid w:val="00AF281D"/>
    <w:rsid w:val="00B06F69"/>
    <w:rsid w:val="00B13A0A"/>
    <w:rsid w:val="00B17869"/>
    <w:rsid w:val="00B2065A"/>
    <w:rsid w:val="00B41EE7"/>
    <w:rsid w:val="00B43E1D"/>
    <w:rsid w:val="00B50974"/>
    <w:rsid w:val="00B57E92"/>
    <w:rsid w:val="00B612E7"/>
    <w:rsid w:val="00B624C6"/>
    <w:rsid w:val="00B643F9"/>
    <w:rsid w:val="00B66FE7"/>
    <w:rsid w:val="00B673ED"/>
    <w:rsid w:val="00B72C75"/>
    <w:rsid w:val="00B812C8"/>
    <w:rsid w:val="00BA3C07"/>
    <w:rsid w:val="00BA56FA"/>
    <w:rsid w:val="00BB041A"/>
    <w:rsid w:val="00BB1A5A"/>
    <w:rsid w:val="00BB4B7C"/>
    <w:rsid w:val="00BB7FAC"/>
    <w:rsid w:val="00BC5ABF"/>
    <w:rsid w:val="00BD4427"/>
    <w:rsid w:val="00BE6D80"/>
    <w:rsid w:val="00BF0D4C"/>
    <w:rsid w:val="00C008BD"/>
    <w:rsid w:val="00C00E3A"/>
    <w:rsid w:val="00C12477"/>
    <w:rsid w:val="00C2150E"/>
    <w:rsid w:val="00C23E39"/>
    <w:rsid w:val="00C25225"/>
    <w:rsid w:val="00C50B28"/>
    <w:rsid w:val="00C51C36"/>
    <w:rsid w:val="00C53BE3"/>
    <w:rsid w:val="00C543E0"/>
    <w:rsid w:val="00C56B6A"/>
    <w:rsid w:val="00C571F3"/>
    <w:rsid w:val="00C66063"/>
    <w:rsid w:val="00C713EB"/>
    <w:rsid w:val="00C8377C"/>
    <w:rsid w:val="00CA13CA"/>
    <w:rsid w:val="00CA1635"/>
    <w:rsid w:val="00CA2922"/>
    <w:rsid w:val="00CA6D15"/>
    <w:rsid w:val="00CB4E55"/>
    <w:rsid w:val="00CC101E"/>
    <w:rsid w:val="00CC14FA"/>
    <w:rsid w:val="00CC7319"/>
    <w:rsid w:val="00CD5FD2"/>
    <w:rsid w:val="00CF3EDF"/>
    <w:rsid w:val="00CF7868"/>
    <w:rsid w:val="00D002C6"/>
    <w:rsid w:val="00D02B1A"/>
    <w:rsid w:val="00D069D5"/>
    <w:rsid w:val="00D1176B"/>
    <w:rsid w:val="00D155DD"/>
    <w:rsid w:val="00D1720C"/>
    <w:rsid w:val="00D17357"/>
    <w:rsid w:val="00D2335E"/>
    <w:rsid w:val="00D2589B"/>
    <w:rsid w:val="00D25DC9"/>
    <w:rsid w:val="00D261DD"/>
    <w:rsid w:val="00D32A79"/>
    <w:rsid w:val="00D33611"/>
    <w:rsid w:val="00D33ECB"/>
    <w:rsid w:val="00D36263"/>
    <w:rsid w:val="00D36622"/>
    <w:rsid w:val="00D40BBF"/>
    <w:rsid w:val="00D44BAD"/>
    <w:rsid w:val="00D53ACA"/>
    <w:rsid w:val="00D6187F"/>
    <w:rsid w:val="00D67E89"/>
    <w:rsid w:val="00D74EB2"/>
    <w:rsid w:val="00D820CC"/>
    <w:rsid w:val="00D84FA5"/>
    <w:rsid w:val="00D87993"/>
    <w:rsid w:val="00D92238"/>
    <w:rsid w:val="00D97AD8"/>
    <w:rsid w:val="00DA0EA6"/>
    <w:rsid w:val="00DA44A8"/>
    <w:rsid w:val="00DB4D13"/>
    <w:rsid w:val="00DC789D"/>
    <w:rsid w:val="00DC7D57"/>
    <w:rsid w:val="00DD13C7"/>
    <w:rsid w:val="00DD45A8"/>
    <w:rsid w:val="00DE0A1B"/>
    <w:rsid w:val="00DE2F4B"/>
    <w:rsid w:val="00DE381B"/>
    <w:rsid w:val="00DF0753"/>
    <w:rsid w:val="00E0370B"/>
    <w:rsid w:val="00E0372C"/>
    <w:rsid w:val="00E10F9C"/>
    <w:rsid w:val="00E114B0"/>
    <w:rsid w:val="00E11504"/>
    <w:rsid w:val="00E14309"/>
    <w:rsid w:val="00E2445E"/>
    <w:rsid w:val="00E27716"/>
    <w:rsid w:val="00E4043E"/>
    <w:rsid w:val="00E44B9B"/>
    <w:rsid w:val="00E53DFE"/>
    <w:rsid w:val="00E7002A"/>
    <w:rsid w:val="00E721D4"/>
    <w:rsid w:val="00E724E2"/>
    <w:rsid w:val="00E738E9"/>
    <w:rsid w:val="00E739B5"/>
    <w:rsid w:val="00E765AB"/>
    <w:rsid w:val="00E771FD"/>
    <w:rsid w:val="00E7785D"/>
    <w:rsid w:val="00E819C3"/>
    <w:rsid w:val="00E83811"/>
    <w:rsid w:val="00E86449"/>
    <w:rsid w:val="00E90A56"/>
    <w:rsid w:val="00E93FAA"/>
    <w:rsid w:val="00E965FA"/>
    <w:rsid w:val="00EA668A"/>
    <w:rsid w:val="00EA6A57"/>
    <w:rsid w:val="00EB0289"/>
    <w:rsid w:val="00EB07F0"/>
    <w:rsid w:val="00EB6A6D"/>
    <w:rsid w:val="00EC313F"/>
    <w:rsid w:val="00ED3987"/>
    <w:rsid w:val="00ED76CC"/>
    <w:rsid w:val="00EE298F"/>
    <w:rsid w:val="00EE6280"/>
    <w:rsid w:val="00EF3E40"/>
    <w:rsid w:val="00EF788F"/>
    <w:rsid w:val="00F01308"/>
    <w:rsid w:val="00F10DA3"/>
    <w:rsid w:val="00F113BA"/>
    <w:rsid w:val="00F11A8F"/>
    <w:rsid w:val="00F12D52"/>
    <w:rsid w:val="00F16C1E"/>
    <w:rsid w:val="00F302B1"/>
    <w:rsid w:val="00F35501"/>
    <w:rsid w:val="00F3640F"/>
    <w:rsid w:val="00F42C5C"/>
    <w:rsid w:val="00F475EE"/>
    <w:rsid w:val="00F62432"/>
    <w:rsid w:val="00F70979"/>
    <w:rsid w:val="00F74CA0"/>
    <w:rsid w:val="00F77188"/>
    <w:rsid w:val="00F80623"/>
    <w:rsid w:val="00F82E78"/>
    <w:rsid w:val="00F851EC"/>
    <w:rsid w:val="00F86E97"/>
    <w:rsid w:val="00F878A5"/>
    <w:rsid w:val="00F90D1D"/>
    <w:rsid w:val="00F93087"/>
    <w:rsid w:val="00F94A2F"/>
    <w:rsid w:val="00F94A37"/>
    <w:rsid w:val="00F97509"/>
    <w:rsid w:val="00F97BC8"/>
    <w:rsid w:val="00FA126E"/>
    <w:rsid w:val="00FB5A5B"/>
    <w:rsid w:val="00FC101C"/>
    <w:rsid w:val="00FC4209"/>
    <w:rsid w:val="00FD24B9"/>
    <w:rsid w:val="00FD3A77"/>
    <w:rsid w:val="00FE21A6"/>
    <w:rsid w:val="00FE6512"/>
    <w:rsid w:val="00FF4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94DA"/>
  <w15:docId w15:val="{53602B5E-0E19-4568-A220-2EF1DE6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C5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E86449"/>
    <w:pPr>
      <w:keepNext/>
      <w:numPr>
        <w:numId w:val="11"/>
      </w:numPr>
      <w:outlineLvl w:val="0"/>
    </w:pPr>
    <w:rPr>
      <w:rFonts w:eastAsia="Times New Roman"/>
      <w:b/>
      <w:bCs/>
      <w:sz w:val="28"/>
      <w:lang w:eastAsia="en-GB"/>
    </w:rPr>
  </w:style>
  <w:style w:type="paragraph" w:styleId="Heading2">
    <w:name w:val="heading 2"/>
    <w:basedOn w:val="Normal"/>
    <w:next w:val="Normal"/>
    <w:link w:val="Heading2Char"/>
    <w:uiPriority w:val="9"/>
    <w:unhideWhenUsed/>
    <w:qFormat/>
    <w:rsid w:val="00E86449"/>
    <w:pPr>
      <w:keepNext/>
      <w:keepLines/>
      <w:numPr>
        <w:ilvl w:val="1"/>
        <w:numId w:val="11"/>
      </w:numPr>
      <w:spacing w:before="200"/>
      <w:outlineLvl w:val="1"/>
    </w:pPr>
    <w:rPr>
      <w:rFonts w:eastAsia="Times New Roman"/>
      <w:b/>
      <w:bCs/>
      <w:color w:val="4F81BD"/>
      <w:sz w:val="24"/>
      <w:szCs w:val="26"/>
      <w:lang w:eastAsia="en-GB"/>
    </w:rPr>
  </w:style>
  <w:style w:type="paragraph" w:styleId="Heading3">
    <w:name w:val="heading 3"/>
    <w:basedOn w:val="Normal"/>
    <w:next w:val="Normal"/>
    <w:link w:val="Heading3Char"/>
    <w:uiPriority w:val="9"/>
    <w:semiHidden/>
    <w:unhideWhenUsed/>
    <w:qFormat/>
    <w:rsid w:val="00E86449"/>
    <w:pPr>
      <w:keepNext/>
      <w:keepLines/>
      <w:numPr>
        <w:ilvl w:val="2"/>
        <w:numId w:val="1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rsid w:val="00DA0EA6"/>
    <w:pPr>
      <w:keepNext/>
      <w:numPr>
        <w:ilvl w:val="3"/>
        <w:numId w:val="11"/>
      </w:numPr>
      <w:outlineLvl w:val="3"/>
    </w:pPr>
    <w:rPr>
      <w:rFonts w:eastAsia="Times New Roman"/>
      <w:b/>
      <w:bCs/>
      <w:sz w:val="28"/>
      <w:lang w:eastAsia="en-GB"/>
    </w:rPr>
  </w:style>
  <w:style w:type="paragraph" w:styleId="Heading5">
    <w:name w:val="heading 5"/>
    <w:basedOn w:val="Normal"/>
    <w:next w:val="Normal"/>
    <w:link w:val="Heading5Char"/>
    <w:uiPriority w:val="9"/>
    <w:semiHidden/>
    <w:unhideWhenUsed/>
    <w:rsid w:val="00ED3987"/>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3987"/>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3987"/>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D398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398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449"/>
    <w:rPr>
      <w:rFonts w:asciiTheme="minorHAnsi" w:eastAsia="Times New Roman" w:hAnsiTheme="minorHAnsi"/>
      <w:b/>
      <w:bCs/>
      <w:sz w:val="28"/>
      <w:szCs w:val="24"/>
    </w:rPr>
  </w:style>
  <w:style w:type="character" w:customStyle="1" w:styleId="Heading2Char">
    <w:name w:val="Heading 2 Char"/>
    <w:basedOn w:val="DefaultParagraphFont"/>
    <w:link w:val="Heading2"/>
    <w:uiPriority w:val="9"/>
    <w:rsid w:val="00E86449"/>
    <w:rPr>
      <w:rFonts w:asciiTheme="minorHAnsi" w:eastAsia="Times New Roman" w:hAnsiTheme="minorHAnsi"/>
      <w:b/>
      <w:bCs/>
      <w:color w:val="4F81BD"/>
      <w:sz w:val="24"/>
      <w:szCs w:val="26"/>
    </w:rPr>
  </w:style>
  <w:style w:type="character" w:customStyle="1" w:styleId="Heading4Char">
    <w:name w:val="Heading 4 Char"/>
    <w:basedOn w:val="DefaultParagraphFont"/>
    <w:link w:val="Heading4"/>
    <w:rsid w:val="00DA0EA6"/>
    <w:rPr>
      <w:rFonts w:ascii="Verdana" w:eastAsia="Times New Roman" w:hAnsi="Verdana" w:cs="Times New Roman"/>
      <w:b/>
      <w:bCs/>
      <w:sz w:val="28"/>
      <w:szCs w:val="24"/>
    </w:rPr>
  </w:style>
  <w:style w:type="character" w:customStyle="1" w:styleId="Heading3Char">
    <w:name w:val="Heading 3 Char"/>
    <w:basedOn w:val="DefaultParagraphFont"/>
    <w:link w:val="Heading3"/>
    <w:uiPriority w:val="9"/>
    <w:semiHidden/>
    <w:rsid w:val="00E86449"/>
    <w:rPr>
      <w:rFonts w:asciiTheme="minorHAnsi" w:eastAsiaTheme="majorEastAsia" w:hAnsiTheme="minorHAnsi" w:cstheme="majorBidi"/>
      <w:b/>
      <w:bCs/>
      <w:color w:val="4F81BD" w:themeColor="accent1"/>
      <w:sz w:val="22"/>
      <w:szCs w:val="24"/>
      <w:lang w:eastAsia="en-US"/>
    </w:rPr>
  </w:style>
  <w:style w:type="paragraph" w:styleId="ListParagraph">
    <w:name w:val="List Paragraph"/>
    <w:basedOn w:val="Normal"/>
    <w:uiPriority w:val="34"/>
    <w:qFormat/>
    <w:rsid w:val="00F42C5C"/>
    <w:pPr>
      <w:ind w:left="720"/>
      <w:contextualSpacing/>
    </w:pPr>
  </w:style>
  <w:style w:type="paragraph" w:styleId="Header">
    <w:name w:val="header"/>
    <w:basedOn w:val="Normal"/>
    <w:link w:val="HeaderChar"/>
    <w:uiPriority w:val="99"/>
    <w:unhideWhenUsed/>
    <w:rsid w:val="00F4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C5C"/>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4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C5C"/>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F42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C5C"/>
    <w:rPr>
      <w:rFonts w:ascii="Tahoma" w:eastAsiaTheme="minorHAnsi" w:hAnsi="Tahoma" w:cs="Tahoma"/>
      <w:sz w:val="16"/>
      <w:szCs w:val="16"/>
      <w:lang w:eastAsia="en-US"/>
    </w:rPr>
  </w:style>
  <w:style w:type="table" w:styleId="TableGrid">
    <w:name w:val="Table Grid"/>
    <w:basedOn w:val="TableNormal"/>
    <w:uiPriority w:val="59"/>
    <w:rsid w:val="00F42C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F42C5C"/>
  </w:style>
  <w:style w:type="character" w:customStyle="1" w:styleId="apple-converted-space">
    <w:name w:val="apple-converted-space"/>
    <w:basedOn w:val="DefaultParagraphFont"/>
    <w:rsid w:val="00F42C5C"/>
  </w:style>
  <w:style w:type="character" w:styleId="PageNumber">
    <w:name w:val="page number"/>
    <w:basedOn w:val="DefaultParagraphFont"/>
    <w:rsid w:val="00F42C5C"/>
  </w:style>
  <w:style w:type="character" w:styleId="Hyperlink">
    <w:name w:val="Hyperlink"/>
    <w:basedOn w:val="DefaultParagraphFont"/>
    <w:uiPriority w:val="99"/>
    <w:unhideWhenUsed/>
    <w:rsid w:val="00CF3EDF"/>
    <w:rPr>
      <w:color w:val="0000FF" w:themeColor="hyperlink"/>
      <w:u w:val="single"/>
    </w:rPr>
  </w:style>
  <w:style w:type="table" w:styleId="LightShading-Accent5">
    <w:name w:val="Light Shading Accent 5"/>
    <w:basedOn w:val="TableNormal"/>
    <w:uiPriority w:val="60"/>
    <w:rsid w:val="001D30CF"/>
    <w:rPr>
      <w:rFonts w:asciiTheme="minorHAnsi" w:eastAsiaTheme="minorEastAsia"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5Char">
    <w:name w:val="Heading 5 Char"/>
    <w:basedOn w:val="DefaultParagraphFont"/>
    <w:link w:val="Heading5"/>
    <w:uiPriority w:val="9"/>
    <w:semiHidden/>
    <w:rsid w:val="00ED3987"/>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ED3987"/>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ED3987"/>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ED398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D3987"/>
    <w:rPr>
      <w:rFonts w:asciiTheme="majorHAnsi" w:eastAsiaTheme="majorEastAsia" w:hAnsiTheme="majorHAnsi" w:cstheme="majorBidi"/>
      <w:i/>
      <w:iCs/>
      <w:color w:val="272727" w:themeColor="text1" w:themeTint="D8"/>
      <w:sz w:val="21"/>
      <w:szCs w:val="21"/>
      <w:lang w:eastAsia="en-US"/>
    </w:rPr>
  </w:style>
  <w:style w:type="character" w:styleId="UnresolvedMention">
    <w:name w:val="Unresolved Mention"/>
    <w:basedOn w:val="DefaultParagraphFont"/>
    <w:uiPriority w:val="99"/>
    <w:semiHidden/>
    <w:unhideWhenUsed/>
    <w:rsid w:val="00A638AC"/>
    <w:rPr>
      <w:color w:val="808080"/>
      <w:shd w:val="clear" w:color="auto" w:fill="E6E6E6"/>
    </w:rPr>
  </w:style>
  <w:style w:type="table" w:styleId="PlainTable1">
    <w:name w:val="Plain Table 1"/>
    <w:basedOn w:val="TableNormal"/>
    <w:uiPriority w:val="41"/>
    <w:rsid w:val="004302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430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4460">
      <w:bodyDiv w:val="1"/>
      <w:marLeft w:val="0"/>
      <w:marRight w:val="0"/>
      <w:marTop w:val="0"/>
      <w:marBottom w:val="0"/>
      <w:divBdr>
        <w:top w:val="none" w:sz="0" w:space="0" w:color="auto"/>
        <w:left w:val="none" w:sz="0" w:space="0" w:color="auto"/>
        <w:bottom w:val="none" w:sz="0" w:space="0" w:color="auto"/>
        <w:right w:val="none" w:sz="0" w:space="0" w:color="auto"/>
      </w:divBdr>
    </w:div>
    <w:div w:id="265427581">
      <w:bodyDiv w:val="1"/>
      <w:marLeft w:val="0"/>
      <w:marRight w:val="0"/>
      <w:marTop w:val="0"/>
      <w:marBottom w:val="0"/>
      <w:divBdr>
        <w:top w:val="none" w:sz="0" w:space="0" w:color="auto"/>
        <w:left w:val="none" w:sz="0" w:space="0" w:color="auto"/>
        <w:bottom w:val="none" w:sz="0" w:space="0" w:color="auto"/>
        <w:right w:val="none" w:sz="0" w:space="0" w:color="auto"/>
      </w:divBdr>
    </w:div>
    <w:div w:id="294258874">
      <w:bodyDiv w:val="1"/>
      <w:marLeft w:val="0"/>
      <w:marRight w:val="0"/>
      <w:marTop w:val="0"/>
      <w:marBottom w:val="0"/>
      <w:divBdr>
        <w:top w:val="none" w:sz="0" w:space="0" w:color="auto"/>
        <w:left w:val="none" w:sz="0" w:space="0" w:color="auto"/>
        <w:bottom w:val="none" w:sz="0" w:space="0" w:color="auto"/>
        <w:right w:val="none" w:sz="0" w:space="0" w:color="auto"/>
      </w:divBdr>
    </w:div>
    <w:div w:id="703402415">
      <w:bodyDiv w:val="1"/>
      <w:marLeft w:val="0"/>
      <w:marRight w:val="0"/>
      <w:marTop w:val="0"/>
      <w:marBottom w:val="0"/>
      <w:divBdr>
        <w:top w:val="none" w:sz="0" w:space="0" w:color="auto"/>
        <w:left w:val="none" w:sz="0" w:space="0" w:color="auto"/>
        <w:bottom w:val="none" w:sz="0" w:space="0" w:color="auto"/>
        <w:right w:val="none" w:sz="0" w:space="0" w:color="auto"/>
      </w:divBdr>
    </w:div>
    <w:div w:id="804657960">
      <w:bodyDiv w:val="1"/>
      <w:marLeft w:val="0"/>
      <w:marRight w:val="0"/>
      <w:marTop w:val="0"/>
      <w:marBottom w:val="0"/>
      <w:divBdr>
        <w:top w:val="none" w:sz="0" w:space="0" w:color="auto"/>
        <w:left w:val="none" w:sz="0" w:space="0" w:color="auto"/>
        <w:bottom w:val="none" w:sz="0" w:space="0" w:color="auto"/>
        <w:right w:val="none" w:sz="0" w:space="0" w:color="auto"/>
      </w:divBdr>
    </w:div>
    <w:div w:id="1033313441">
      <w:bodyDiv w:val="1"/>
      <w:marLeft w:val="0"/>
      <w:marRight w:val="0"/>
      <w:marTop w:val="0"/>
      <w:marBottom w:val="0"/>
      <w:divBdr>
        <w:top w:val="none" w:sz="0" w:space="0" w:color="auto"/>
        <w:left w:val="none" w:sz="0" w:space="0" w:color="auto"/>
        <w:bottom w:val="none" w:sz="0" w:space="0" w:color="auto"/>
        <w:right w:val="none" w:sz="0" w:space="0" w:color="auto"/>
      </w:divBdr>
    </w:div>
    <w:div w:id="14045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olutionsini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solutionsini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solutionsinit.com" TargetMode="External"/><Relationship Id="rId4" Type="http://schemas.openxmlformats.org/officeDocument/2006/relationships/settings" Target="settings.xml"/><Relationship Id="rId9" Type="http://schemas.openxmlformats.org/officeDocument/2006/relationships/hyperlink" Target="http://www.emirsoftwar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8F9A3-0215-491F-8E01-8440C85D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Winder</dc:creator>
  <cp:lastModifiedBy>Kirstie Davies</cp:lastModifiedBy>
  <cp:revision>3</cp:revision>
  <cp:lastPrinted>2023-03-08T09:34:00Z</cp:lastPrinted>
  <dcterms:created xsi:type="dcterms:W3CDTF">2025-11-25T16:48:00Z</dcterms:created>
  <dcterms:modified xsi:type="dcterms:W3CDTF">2025-11-25T16:48:00Z</dcterms:modified>
</cp:coreProperties>
</file>